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6E80D4" w14:textId="430878ED" w:rsidR="00CF7215" w:rsidRPr="00F70C11" w:rsidRDefault="0006644E" w:rsidP="00CF7215">
      <w:pPr>
        <w:spacing w:after="200" w:line="276" w:lineRule="auto"/>
        <w:jc w:val="center"/>
        <w:rPr>
          <w:rFonts w:asciiTheme="majorHAnsi" w:hAnsiTheme="majorHAnsi"/>
          <w:b/>
          <w:sz w:val="36"/>
          <w:szCs w:val="22"/>
        </w:rPr>
      </w:pPr>
      <w:bookmarkStart w:id="0" w:name="_GoBack"/>
      <w:bookmarkEnd w:id="0"/>
      <w:r w:rsidRPr="00F70C11">
        <w:rPr>
          <w:rFonts w:asciiTheme="majorHAnsi" w:hAnsiTheme="majorHAnsi"/>
          <w:b/>
          <w:sz w:val="36"/>
          <w:szCs w:val="22"/>
        </w:rPr>
        <w:t>The Indian Banking Sector</w:t>
      </w:r>
    </w:p>
    <w:p w14:paraId="78D470A5" w14:textId="201630C0" w:rsidR="00606978" w:rsidRDefault="00606978">
      <w:pPr>
        <w:pStyle w:val="TOC2"/>
        <w:tabs>
          <w:tab w:val="right" w:leader="dot" w:pos="8290"/>
        </w:tabs>
        <w:rPr>
          <w:b w:val="0"/>
          <w:noProof/>
          <w:sz w:val="24"/>
          <w:szCs w:val="24"/>
          <w:lang w:eastAsia="ja-JP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TOC \o "1-3" </w:instrText>
      </w:r>
      <w:r>
        <w:rPr>
          <w:rFonts w:asciiTheme="majorHAnsi" w:hAnsiTheme="majorHAnsi"/>
        </w:rPr>
        <w:fldChar w:fldCharType="separate"/>
      </w:r>
      <w:r w:rsidR="002B2903">
        <w:rPr>
          <w:noProof/>
        </w:rPr>
        <w:t>A brief history of reforms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_Toc307918013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4A2BB2E5" w14:textId="0698C97C" w:rsidR="00606978" w:rsidRDefault="00606978">
      <w:pPr>
        <w:pStyle w:val="TOC2"/>
        <w:tabs>
          <w:tab w:val="right" w:leader="dot" w:pos="8290"/>
        </w:tabs>
        <w:rPr>
          <w:b w:val="0"/>
          <w:noProof/>
          <w:sz w:val="24"/>
          <w:szCs w:val="24"/>
          <w:lang w:eastAsia="ja-JP"/>
        </w:rPr>
      </w:pPr>
      <w:r w:rsidRPr="00365E89">
        <w:rPr>
          <w:noProof/>
        </w:rPr>
        <w:t>Featur</w:t>
      </w:r>
      <w:r w:rsidR="002B2903">
        <w:rPr>
          <w:noProof/>
        </w:rPr>
        <w:t>es of the Indian banking system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_Toc307918017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97AE1FF" w14:textId="0AAE692F" w:rsidR="00606978" w:rsidRDefault="002B2903">
      <w:pPr>
        <w:pStyle w:val="TOC2"/>
        <w:tabs>
          <w:tab w:val="right" w:leader="dot" w:pos="8290"/>
        </w:tabs>
        <w:rPr>
          <w:b w:val="0"/>
          <w:noProof/>
          <w:sz w:val="24"/>
          <w:szCs w:val="24"/>
          <w:lang w:eastAsia="ja-JP"/>
        </w:rPr>
      </w:pPr>
      <w:r>
        <w:rPr>
          <w:noProof/>
        </w:rPr>
        <w:t>Performance and Trends</w:t>
      </w:r>
      <w:r w:rsidR="00606978">
        <w:rPr>
          <w:noProof/>
        </w:rPr>
        <w:tab/>
      </w:r>
      <w:r w:rsidR="00606978">
        <w:rPr>
          <w:noProof/>
        </w:rPr>
        <w:fldChar w:fldCharType="begin"/>
      </w:r>
      <w:r w:rsidR="00606978">
        <w:rPr>
          <w:noProof/>
        </w:rPr>
        <w:instrText xml:space="preserve"> PAGEREF _Toc307918018 \h </w:instrText>
      </w:r>
      <w:r w:rsidR="00606978">
        <w:rPr>
          <w:noProof/>
        </w:rPr>
      </w:r>
      <w:r w:rsidR="00606978">
        <w:rPr>
          <w:noProof/>
        </w:rPr>
        <w:fldChar w:fldCharType="separate"/>
      </w:r>
      <w:r w:rsidR="00606978">
        <w:rPr>
          <w:noProof/>
        </w:rPr>
        <w:t>5</w:t>
      </w:r>
      <w:r w:rsidR="00606978">
        <w:rPr>
          <w:noProof/>
        </w:rPr>
        <w:fldChar w:fldCharType="end"/>
      </w:r>
    </w:p>
    <w:p w14:paraId="4A3CAF34" w14:textId="77777777" w:rsidR="00606978" w:rsidRDefault="00606978">
      <w:pPr>
        <w:pStyle w:val="TOC2"/>
        <w:tabs>
          <w:tab w:val="right" w:leader="dot" w:pos="8290"/>
        </w:tabs>
        <w:rPr>
          <w:b w:val="0"/>
          <w:noProof/>
          <w:sz w:val="24"/>
          <w:szCs w:val="24"/>
          <w:lang w:eastAsia="ja-JP"/>
        </w:rPr>
      </w:pPr>
      <w:r w:rsidRPr="00365E89">
        <w:rPr>
          <w:noProof/>
        </w:rPr>
        <w:t>Appendices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_Toc307918019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151A473E" w14:textId="77777777" w:rsidR="00606978" w:rsidRDefault="00606978">
      <w:pPr>
        <w:pStyle w:val="TOC2"/>
        <w:tabs>
          <w:tab w:val="right" w:leader="dot" w:pos="8290"/>
        </w:tabs>
        <w:rPr>
          <w:b w:val="0"/>
          <w:noProof/>
          <w:sz w:val="24"/>
          <w:szCs w:val="24"/>
          <w:lang w:eastAsia="ja-JP"/>
        </w:rPr>
      </w:pPr>
      <w:r w:rsidRPr="00365E89">
        <w:rPr>
          <w:noProof/>
        </w:rPr>
        <w:t>Sources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_Toc307918020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5E1FBE71" w14:textId="77777777" w:rsidR="00F70C11" w:rsidRDefault="0060697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fldChar w:fldCharType="end"/>
      </w:r>
      <w:r w:rsidR="00F70C11">
        <w:rPr>
          <w:rFonts w:asciiTheme="majorHAnsi" w:hAnsiTheme="majorHAnsi"/>
          <w:sz w:val="22"/>
          <w:szCs w:val="22"/>
        </w:rPr>
        <w:br w:type="page"/>
      </w:r>
    </w:p>
    <w:p w14:paraId="3116ECE8" w14:textId="5DCA0EC5" w:rsidR="00E075A3" w:rsidRPr="00263254" w:rsidRDefault="00E075A3" w:rsidP="00263254">
      <w:pPr>
        <w:pStyle w:val="Heading2"/>
        <w:spacing w:after="120"/>
        <w:rPr>
          <w:color w:val="auto"/>
        </w:rPr>
      </w:pPr>
      <w:bookmarkStart w:id="1" w:name="_Toc307918013"/>
      <w:r w:rsidRPr="00263254">
        <w:rPr>
          <w:color w:val="auto"/>
        </w:rPr>
        <w:lastRenderedPageBreak/>
        <w:t>A brief history of reforms:</w:t>
      </w:r>
      <w:bookmarkEnd w:id="1"/>
    </w:p>
    <w:p w14:paraId="0635ECCC" w14:textId="1DE38CD8" w:rsidR="00E075A3" w:rsidRDefault="00751536" w:rsidP="00BC7AD7">
      <w:p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Prior to the reforms initiated by the NEP of 1991, the Indian banking system suffered </w:t>
      </w:r>
      <w:r w:rsidR="000E699E">
        <w:rPr>
          <w:rFonts w:asciiTheme="majorHAnsi" w:hAnsiTheme="majorHAnsi"/>
          <w:sz w:val="22"/>
          <w:szCs w:val="22"/>
        </w:rPr>
        <w:t>from a similar fate as the rest of the economy. It was characterized by:</w:t>
      </w:r>
    </w:p>
    <w:p w14:paraId="266F7B8D" w14:textId="3EF26E9A" w:rsidR="000E699E" w:rsidRPr="00280F85" w:rsidRDefault="00273105" w:rsidP="00280F85">
      <w:pPr>
        <w:pStyle w:val="ListParagraph"/>
        <w:numPr>
          <w:ilvl w:val="0"/>
          <w:numId w:val="1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Restrictions on private sector entrants</w:t>
      </w:r>
      <w:r w:rsidR="00280F85">
        <w:rPr>
          <w:rFonts w:asciiTheme="majorHAnsi" w:hAnsiTheme="majorHAnsi"/>
          <w:sz w:val="22"/>
          <w:szCs w:val="22"/>
        </w:rPr>
        <w:t xml:space="preserve"> coupled with c</w:t>
      </w:r>
      <w:r w:rsidR="00CD2D69" w:rsidRPr="00280F85">
        <w:rPr>
          <w:rFonts w:asciiTheme="majorHAnsi" w:hAnsiTheme="majorHAnsi"/>
          <w:sz w:val="22"/>
          <w:szCs w:val="22"/>
        </w:rPr>
        <w:t>ontrolled interest rates and service charges</w:t>
      </w:r>
      <w:r w:rsidR="00280F85">
        <w:rPr>
          <w:rFonts w:asciiTheme="majorHAnsi" w:hAnsiTheme="majorHAnsi"/>
          <w:sz w:val="22"/>
          <w:szCs w:val="22"/>
        </w:rPr>
        <w:t>:</w:t>
      </w:r>
    </w:p>
    <w:p w14:paraId="3E21142E" w14:textId="152EBE0B" w:rsidR="00273105" w:rsidRPr="00CD2D69" w:rsidRDefault="00A507AA" w:rsidP="00273105">
      <w:pPr>
        <w:pStyle w:val="ListParagraph"/>
        <w:spacing w:after="200" w:line="276" w:lineRule="auto"/>
        <w:ind w:left="36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Until the deregulation offered by the NEP, the </w:t>
      </w:r>
      <w:r w:rsidR="00380B2E">
        <w:rPr>
          <w:rFonts w:asciiTheme="majorHAnsi" w:hAnsiTheme="majorHAnsi"/>
          <w:sz w:val="22"/>
          <w:szCs w:val="22"/>
        </w:rPr>
        <w:t xml:space="preserve">fee structure of banks in India was set at a uniform price, and the interest rates on loans and deposits were </w:t>
      </w:r>
      <w:r w:rsidR="00090F6A">
        <w:rPr>
          <w:rFonts w:asciiTheme="majorHAnsi" w:hAnsiTheme="majorHAnsi"/>
          <w:sz w:val="22"/>
          <w:szCs w:val="22"/>
        </w:rPr>
        <w:t xml:space="preserve">tightly controlled by the RBI. Thus, existing banks enjoyed the benefit of administered </w:t>
      </w:r>
      <w:r w:rsidR="00960C6F">
        <w:rPr>
          <w:rFonts w:asciiTheme="majorHAnsi" w:hAnsiTheme="majorHAnsi"/>
          <w:sz w:val="22"/>
          <w:szCs w:val="22"/>
        </w:rPr>
        <w:t>margins without having to compete, whereas new entrants suffered a huge disadvantage in trying to gain any market share.</w:t>
      </w:r>
      <w:r w:rsidR="00280F85">
        <w:rPr>
          <w:rFonts w:asciiTheme="majorHAnsi" w:hAnsiTheme="majorHAnsi"/>
          <w:sz w:val="22"/>
          <w:szCs w:val="22"/>
        </w:rPr>
        <w:t xml:space="preserve"> </w:t>
      </w:r>
    </w:p>
    <w:p w14:paraId="51967BDA" w14:textId="607E3132" w:rsidR="00CD2D69" w:rsidRDefault="00CD2D69" w:rsidP="00CD2D69">
      <w:pPr>
        <w:pStyle w:val="ListParagraph"/>
        <w:numPr>
          <w:ilvl w:val="0"/>
          <w:numId w:val="1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Strict credit allocation regulations</w:t>
      </w:r>
      <w:r w:rsidR="00274C2F">
        <w:rPr>
          <w:rFonts w:asciiTheme="majorHAnsi" w:hAnsiTheme="majorHAnsi"/>
          <w:sz w:val="22"/>
          <w:szCs w:val="22"/>
        </w:rPr>
        <w:t>:</w:t>
      </w:r>
    </w:p>
    <w:p w14:paraId="676EE15E" w14:textId="3A0403B6" w:rsidR="00280F85" w:rsidRDefault="00280F85" w:rsidP="00280F85">
      <w:pPr>
        <w:pStyle w:val="ListParagraph"/>
        <w:spacing w:after="200" w:line="276" w:lineRule="auto"/>
        <w:ind w:left="36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Banks were heavily regulated in their disbursement of credit by the RBI</w:t>
      </w:r>
      <w:r w:rsidR="00352B20">
        <w:rPr>
          <w:rFonts w:asciiTheme="majorHAnsi" w:hAnsiTheme="majorHAnsi"/>
          <w:sz w:val="22"/>
          <w:szCs w:val="22"/>
        </w:rPr>
        <w:t xml:space="preserve">, through capital authorization schemes, credit-monitoring agreements, </w:t>
      </w:r>
      <w:proofErr w:type="gramStart"/>
      <w:r w:rsidR="00352B20">
        <w:rPr>
          <w:rFonts w:asciiTheme="majorHAnsi" w:hAnsiTheme="majorHAnsi"/>
          <w:sz w:val="22"/>
          <w:szCs w:val="22"/>
        </w:rPr>
        <w:t>consortium</w:t>
      </w:r>
      <w:proofErr w:type="gramEnd"/>
      <w:r w:rsidR="00352B20">
        <w:rPr>
          <w:rFonts w:asciiTheme="majorHAnsi" w:hAnsiTheme="majorHAnsi"/>
          <w:sz w:val="22"/>
          <w:szCs w:val="22"/>
        </w:rPr>
        <w:t xml:space="preserve"> financing and lead bank systems.</w:t>
      </w:r>
    </w:p>
    <w:p w14:paraId="5F64D31E" w14:textId="7C34203D" w:rsidR="00352B20" w:rsidRDefault="00352B20" w:rsidP="00352B20">
      <w:p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The obvious fallout of these controls was that there was no real competition in the Indian banking sector and, thus, a sub-optimal resource allocation.</w:t>
      </w:r>
      <w:r w:rsidR="00E04756">
        <w:rPr>
          <w:rFonts w:asciiTheme="majorHAnsi" w:hAnsiTheme="majorHAnsi"/>
          <w:sz w:val="22"/>
          <w:szCs w:val="22"/>
        </w:rPr>
        <w:t xml:space="preserve"> However, as India faced its biggest economic threat in the early 1990</w:t>
      </w:r>
      <w:r w:rsidR="00805415">
        <w:rPr>
          <w:rFonts w:asciiTheme="majorHAnsi" w:hAnsiTheme="majorHAnsi"/>
          <w:sz w:val="22"/>
          <w:szCs w:val="22"/>
        </w:rPr>
        <w:t xml:space="preserve">s, one of the priorities of the NEP became the reform of the banking system. To enable this, a committee </w:t>
      </w:r>
      <w:r w:rsidR="00EB70D0">
        <w:rPr>
          <w:rFonts w:asciiTheme="majorHAnsi" w:hAnsiTheme="majorHAnsi"/>
          <w:sz w:val="22"/>
          <w:szCs w:val="22"/>
        </w:rPr>
        <w:t xml:space="preserve">of experts was formed </w:t>
      </w:r>
      <w:r w:rsidR="008617AA">
        <w:rPr>
          <w:rFonts w:asciiTheme="majorHAnsi" w:hAnsiTheme="majorHAnsi"/>
          <w:sz w:val="22"/>
          <w:szCs w:val="22"/>
        </w:rPr>
        <w:t>under the cha</w:t>
      </w:r>
      <w:r w:rsidR="00625127">
        <w:rPr>
          <w:rFonts w:asciiTheme="majorHAnsi" w:hAnsiTheme="majorHAnsi"/>
          <w:sz w:val="22"/>
          <w:szCs w:val="22"/>
        </w:rPr>
        <w:t>i</w:t>
      </w:r>
      <w:r w:rsidR="008617AA">
        <w:rPr>
          <w:rFonts w:asciiTheme="majorHAnsi" w:hAnsiTheme="majorHAnsi"/>
          <w:sz w:val="22"/>
          <w:szCs w:val="22"/>
        </w:rPr>
        <w:t>r</w:t>
      </w:r>
      <w:r w:rsidR="00625127">
        <w:rPr>
          <w:rFonts w:asciiTheme="majorHAnsi" w:hAnsiTheme="majorHAnsi"/>
          <w:sz w:val="22"/>
          <w:szCs w:val="22"/>
        </w:rPr>
        <w:t xml:space="preserve">manship </w:t>
      </w:r>
      <w:r w:rsidR="008617AA">
        <w:rPr>
          <w:rFonts w:asciiTheme="majorHAnsi" w:hAnsiTheme="majorHAnsi"/>
          <w:sz w:val="22"/>
          <w:szCs w:val="22"/>
        </w:rPr>
        <w:t xml:space="preserve">of </w:t>
      </w:r>
      <w:r w:rsidR="00625127">
        <w:rPr>
          <w:rFonts w:asciiTheme="majorHAnsi" w:hAnsiTheme="majorHAnsi"/>
          <w:sz w:val="22"/>
          <w:szCs w:val="22"/>
        </w:rPr>
        <w:t xml:space="preserve">M </w:t>
      </w:r>
      <w:proofErr w:type="spellStart"/>
      <w:r w:rsidR="00625127">
        <w:rPr>
          <w:rFonts w:asciiTheme="majorHAnsi" w:hAnsiTheme="majorHAnsi"/>
          <w:sz w:val="22"/>
          <w:szCs w:val="22"/>
        </w:rPr>
        <w:t>Narasimham</w:t>
      </w:r>
      <w:proofErr w:type="spellEnd"/>
      <w:r w:rsidR="00625127">
        <w:rPr>
          <w:rFonts w:asciiTheme="majorHAnsi" w:hAnsiTheme="majorHAnsi"/>
          <w:sz w:val="22"/>
          <w:szCs w:val="22"/>
        </w:rPr>
        <w:t xml:space="preserve">. The committee submitted two reports to the Finance Ministry that changed the face of banking in India – the </w:t>
      </w:r>
      <w:proofErr w:type="spellStart"/>
      <w:r w:rsidR="00625127">
        <w:rPr>
          <w:rFonts w:asciiTheme="majorHAnsi" w:hAnsiTheme="majorHAnsi"/>
          <w:sz w:val="22"/>
          <w:szCs w:val="22"/>
        </w:rPr>
        <w:t>Narasimham</w:t>
      </w:r>
      <w:proofErr w:type="spellEnd"/>
      <w:r w:rsidR="00625127">
        <w:rPr>
          <w:rFonts w:asciiTheme="majorHAnsi" w:hAnsiTheme="majorHAnsi"/>
          <w:sz w:val="22"/>
          <w:szCs w:val="22"/>
        </w:rPr>
        <w:t xml:space="preserve"> Committee</w:t>
      </w:r>
      <w:r w:rsidR="00D77C34">
        <w:rPr>
          <w:rFonts w:asciiTheme="majorHAnsi" w:hAnsiTheme="majorHAnsi"/>
          <w:sz w:val="22"/>
          <w:szCs w:val="22"/>
        </w:rPr>
        <w:t xml:space="preserve"> – </w:t>
      </w:r>
      <w:proofErr w:type="gramStart"/>
      <w:r w:rsidR="00D77C34">
        <w:rPr>
          <w:rFonts w:asciiTheme="majorHAnsi" w:hAnsiTheme="majorHAnsi"/>
          <w:sz w:val="22"/>
          <w:szCs w:val="22"/>
        </w:rPr>
        <w:t>I</w:t>
      </w:r>
      <w:proofErr w:type="gramEnd"/>
      <w:r w:rsidR="00625127">
        <w:rPr>
          <w:rFonts w:asciiTheme="majorHAnsi" w:hAnsiTheme="majorHAnsi"/>
          <w:sz w:val="22"/>
          <w:szCs w:val="22"/>
        </w:rPr>
        <w:t xml:space="preserve"> (1991) and the </w:t>
      </w:r>
      <w:proofErr w:type="spellStart"/>
      <w:r w:rsidR="00625127">
        <w:rPr>
          <w:rFonts w:asciiTheme="majorHAnsi" w:hAnsiTheme="majorHAnsi"/>
          <w:sz w:val="22"/>
          <w:szCs w:val="22"/>
        </w:rPr>
        <w:t>Narashimham</w:t>
      </w:r>
      <w:proofErr w:type="spellEnd"/>
      <w:r w:rsidR="00625127">
        <w:rPr>
          <w:rFonts w:asciiTheme="majorHAnsi" w:hAnsiTheme="majorHAnsi"/>
          <w:sz w:val="22"/>
          <w:szCs w:val="22"/>
        </w:rPr>
        <w:t xml:space="preserve"> Committee</w:t>
      </w:r>
      <w:r w:rsidR="00D77C34">
        <w:rPr>
          <w:rFonts w:asciiTheme="majorHAnsi" w:hAnsiTheme="majorHAnsi"/>
          <w:sz w:val="22"/>
          <w:szCs w:val="22"/>
        </w:rPr>
        <w:t xml:space="preserve"> – II </w:t>
      </w:r>
      <w:r w:rsidR="00056536">
        <w:rPr>
          <w:rFonts w:asciiTheme="majorHAnsi" w:hAnsiTheme="majorHAnsi"/>
          <w:sz w:val="22"/>
          <w:szCs w:val="22"/>
        </w:rPr>
        <w:t xml:space="preserve">(1998) reports. </w:t>
      </w:r>
      <w:r w:rsidR="00275F35">
        <w:rPr>
          <w:rFonts w:asciiTheme="majorHAnsi" w:hAnsiTheme="majorHAnsi"/>
          <w:sz w:val="22"/>
          <w:szCs w:val="22"/>
        </w:rPr>
        <w:t>The main recommendations of these reports were:</w:t>
      </w:r>
    </w:p>
    <w:p w14:paraId="34296AA8" w14:textId="4906DED7" w:rsidR="00275F35" w:rsidRPr="00263254" w:rsidRDefault="00275F35" w:rsidP="00263254">
      <w:pPr>
        <w:pStyle w:val="Heading3"/>
        <w:spacing w:after="120"/>
        <w:rPr>
          <w:color w:val="auto"/>
        </w:rPr>
      </w:pPr>
      <w:bookmarkStart w:id="2" w:name="_Toc307918014"/>
      <w:proofErr w:type="spellStart"/>
      <w:r w:rsidRPr="00263254">
        <w:rPr>
          <w:color w:val="auto"/>
        </w:rPr>
        <w:t>Narasimham</w:t>
      </w:r>
      <w:proofErr w:type="spellEnd"/>
      <w:r w:rsidRPr="00263254">
        <w:rPr>
          <w:color w:val="auto"/>
        </w:rPr>
        <w:t xml:space="preserve"> </w:t>
      </w:r>
      <w:r w:rsidR="00D77C34" w:rsidRPr="00263254">
        <w:rPr>
          <w:color w:val="auto"/>
        </w:rPr>
        <w:t>Committee Report – I (1991):</w:t>
      </w:r>
      <w:bookmarkEnd w:id="2"/>
    </w:p>
    <w:p w14:paraId="1F5242BE" w14:textId="0D8FC442" w:rsidR="00217839" w:rsidRDefault="00217839" w:rsidP="00217839">
      <w:pPr>
        <w:pStyle w:val="ListParagraph"/>
        <w:numPr>
          <w:ilvl w:val="0"/>
          <w:numId w:val="2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</w:t>
      </w:r>
      <w:r w:rsidR="00274C2F">
        <w:rPr>
          <w:rFonts w:asciiTheme="majorHAnsi" w:hAnsiTheme="majorHAnsi"/>
          <w:sz w:val="22"/>
          <w:szCs w:val="22"/>
        </w:rPr>
        <w:t xml:space="preserve">tructural reorganization: a) </w:t>
      </w:r>
      <w:r>
        <w:rPr>
          <w:rFonts w:asciiTheme="majorHAnsi" w:hAnsiTheme="majorHAnsi"/>
          <w:sz w:val="22"/>
          <w:szCs w:val="22"/>
        </w:rPr>
        <w:t xml:space="preserve">reduce the number of public sector banks, b) allow private and foreign banks </w:t>
      </w:r>
      <w:r w:rsidR="00873529">
        <w:rPr>
          <w:rFonts w:asciiTheme="majorHAnsi" w:hAnsiTheme="majorHAnsi"/>
          <w:sz w:val="22"/>
          <w:szCs w:val="22"/>
        </w:rPr>
        <w:t xml:space="preserve">to compete freely in India, </w:t>
      </w:r>
      <w:r w:rsidR="00274C2F">
        <w:rPr>
          <w:rFonts w:asciiTheme="majorHAnsi" w:hAnsiTheme="majorHAnsi"/>
          <w:sz w:val="22"/>
          <w:szCs w:val="22"/>
        </w:rPr>
        <w:t>c) remove</w:t>
      </w:r>
      <w:r>
        <w:rPr>
          <w:rFonts w:asciiTheme="majorHAnsi" w:hAnsiTheme="majorHAnsi"/>
          <w:sz w:val="22"/>
          <w:szCs w:val="22"/>
        </w:rPr>
        <w:t xml:space="preserve"> dual control of public sector banks by the Government and the RBI; allow </w:t>
      </w:r>
      <w:r w:rsidR="00873529">
        <w:rPr>
          <w:rFonts w:asciiTheme="majorHAnsi" w:hAnsiTheme="majorHAnsi"/>
          <w:sz w:val="22"/>
          <w:szCs w:val="22"/>
        </w:rPr>
        <w:t>the RBI to take over singularly, and d) grant autonomy to public sector banks and allow them to function without interference.</w:t>
      </w:r>
    </w:p>
    <w:p w14:paraId="45F33C04" w14:textId="32482D27" w:rsidR="00217839" w:rsidRPr="00217839" w:rsidRDefault="00217839" w:rsidP="00217839">
      <w:pPr>
        <w:pStyle w:val="ListParagraph"/>
        <w:numPr>
          <w:ilvl w:val="0"/>
          <w:numId w:val="2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Dereg</w:t>
      </w:r>
      <w:r w:rsidR="00274C2F">
        <w:rPr>
          <w:rFonts w:asciiTheme="majorHAnsi" w:hAnsiTheme="majorHAnsi"/>
          <w:sz w:val="22"/>
          <w:szCs w:val="22"/>
        </w:rPr>
        <w:t>ulating interest rates: allow</w:t>
      </w:r>
      <w:r>
        <w:rPr>
          <w:rFonts w:asciiTheme="majorHAnsi" w:hAnsiTheme="majorHAnsi"/>
          <w:sz w:val="22"/>
          <w:szCs w:val="22"/>
        </w:rPr>
        <w:t xml:space="preserve"> market forces to determ</w:t>
      </w:r>
      <w:r w:rsidR="00274C2F">
        <w:rPr>
          <w:rFonts w:asciiTheme="majorHAnsi" w:hAnsiTheme="majorHAnsi"/>
          <w:sz w:val="22"/>
          <w:szCs w:val="22"/>
        </w:rPr>
        <w:t>ine their movements and bring</w:t>
      </w:r>
      <w:r>
        <w:rPr>
          <w:rFonts w:asciiTheme="majorHAnsi" w:hAnsiTheme="majorHAnsi"/>
          <w:sz w:val="22"/>
          <w:szCs w:val="22"/>
        </w:rPr>
        <w:t xml:space="preserve"> competition into the banking industry.</w:t>
      </w:r>
    </w:p>
    <w:p w14:paraId="0FBFB81D" w14:textId="5F68BF3D" w:rsidR="00D77C34" w:rsidRPr="001F5A1E" w:rsidRDefault="00B653CD" w:rsidP="001F5A1E">
      <w:pPr>
        <w:pStyle w:val="ListParagraph"/>
        <w:numPr>
          <w:ilvl w:val="0"/>
          <w:numId w:val="2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1F5A1E">
        <w:rPr>
          <w:rFonts w:asciiTheme="majorHAnsi" w:hAnsiTheme="majorHAnsi"/>
          <w:sz w:val="22"/>
          <w:szCs w:val="22"/>
        </w:rPr>
        <w:t xml:space="preserve">Reduction in the CRR and SLR: </w:t>
      </w:r>
      <w:r w:rsidR="001F5A1E" w:rsidRPr="001F5A1E">
        <w:rPr>
          <w:rFonts w:asciiTheme="majorHAnsi" w:hAnsiTheme="majorHAnsi"/>
          <w:sz w:val="22"/>
          <w:szCs w:val="22"/>
        </w:rPr>
        <w:t>reduce the CRR from 15% to 5% and the SLR from 38.5% to 25%.</w:t>
      </w:r>
    </w:p>
    <w:p w14:paraId="1C580D61" w14:textId="760782C5" w:rsidR="001F5A1E" w:rsidRDefault="00D10DEE" w:rsidP="001F5A1E">
      <w:pPr>
        <w:pStyle w:val="ListParagraph"/>
        <w:numPr>
          <w:ilvl w:val="0"/>
          <w:numId w:val="2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Phasing out direct</w:t>
      </w:r>
      <w:r w:rsidR="00274C2F">
        <w:rPr>
          <w:rFonts w:asciiTheme="majorHAnsi" w:hAnsiTheme="majorHAnsi"/>
          <w:sz w:val="22"/>
          <w:szCs w:val="22"/>
        </w:rPr>
        <w:t>ed credit programs: substitute</w:t>
      </w:r>
      <w:r>
        <w:rPr>
          <w:rFonts w:asciiTheme="majorHAnsi" w:hAnsiTheme="majorHAnsi"/>
          <w:sz w:val="22"/>
          <w:szCs w:val="22"/>
        </w:rPr>
        <w:t xml:space="preserve"> them with </w:t>
      </w:r>
      <w:r w:rsidR="00A3428D">
        <w:rPr>
          <w:rFonts w:asciiTheme="majorHAnsi" w:hAnsiTheme="majorHAnsi"/>
          <w:sz w:val="22"/>
          <w:szCs w:val="22"/>
        </w:rPr>
        <w:t>Priority Sector Lending (PSL) schemes that provided funds to agriculture and disadvantaged sectors at lower rates of interest.</w:t>
      </w:r>
    </w:p>
    <w:p w14:paraId="774986D3" w14:textId="77777777" w:rsidR="00263254" w:rsidRDefault="00263254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405EE170" w14:textId="2F01E8B7" w:rsidR="00FD25CF" w:rsidRPr="00263254" w:rsidRDefault="00734C7C" w:rsidP="00263254">
      <w:pPr>
        <w:pStyle w:val="Heading3"/>
        <w:spacing w:after="120"/>
        <w:rPr>
          <w:color w:val="auto"/>
        </w:rPr>
      </w:pPr>
      <w:bookmarkStart w:id="3" w:name="_Toc307918015"/>
      <w:proofErr w:type="spellStart"/>
      <w:r w:rsidRPr="00263254">
        <w:rPr>
          <w:color w:val="auto"/>
        </w:rPr>
        <w:lastRenderedPageBreak/>
        <w:t>Naras</w:t>
      </w:r>
      <w:r w:rsidR="00873529" w:rsidRPr="00263254">
        <w:rPr>
          <w:color w:val="auto"/>
        </w:rPr>
        <w:t>imham</w:t>
      </w:r>
      <w:proofErr w:type="spellEnd"/>
      <w:r w:rsidR="00873529" w:rsidRPr="00263254">
        <w:rPr>
          <w:color w:val="auto"/>
        </w:rPr>
        <w:t xml:space="preserve"> Committee Report – II (1998):</w:t>
      </w:r>
      <w:bookmarkEnd w:id="3"/>
    </w:p>
    <w:p w14:paraId="0437A9BE" w14:textId="19859DBC" w:rsidR="00873529" w:rsidRPr="00BB34C9" w:rsidRDefault="00207300" w:rsidP="00BB34C9">
      <w:pPr>
        <w:pStyle w:val="ListParagraph"/>
        <w:numPr>
          <w:ilvl w:val="0"/>
          <w:numId w:val="3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BB34C9">
        <w:rPr>
          <w:rFonts w:asciiTheme="majorHAnsi" w:hAnsiTheme="majorHAnsi"/>
          <w:sz w:val="22"/>
          <w:szCs w:val="22"/>
        </w:rPr>
        <w:t xml:space="preserve">Reform in RBI’s role: </w:t>
      </w:r>
      <w:r w:rsidR="00274C2F">
        <w:rPr>
          <w:rFonts w:asciiTheme="majorHAnsi" w:hAnsiTheme="majorHAnsi"/>
          <w:sz w:val="22"/>
          <w:szCs w:val="22"/>
        </w:rPr>
        <w:t>a) restrict</w:t>
      </w:r>
      <w:r w:rsidR="00AA34A1" w:rsidRPr="00BB34C9">
        <w:rPr>
          <w:rFonts w:asciiTheme="majorHAnsi" w:hAnsiTheme="majorHAnsi"/>
          <w:sz w:val="22"/>
          <w:szCs w:val="22"/>
        </w:rPr>
        <w:t xml:space="preserve"> the call money market to banks and primary dealers only, and b) </w:t>
      </w:r>
      <w:r w:rsidR="00274C2F">
        <w:rPr>
          <w:rFonts w:asciiTheme="majorHAnsi" w:hAnsiTheme="majorHAnsi"/>
          <w:sz w:val="22"/>
          <w:szCs w:val="22"/>
        </w:rPr>
        <w:t>remove</w:t>
      </w:r>
      <w:r w:rsidR="00D6553F" w:rsidRPr="00BB34C9">
        <w:rPr>
          <w:rFonts w:asciiTheme="majorHAnsi" w:hAnsiTheme="majorHAnsi"/>
          <w:sz w:val="22"/>
          <w:szCs w:val="22"/>
        </w:rPr>
        <w:t xml:space="preserve"> the </w:t>
      </w:r>
      <w:r w:rsidR="00BB34C9" w:rsidRPr="00BB34C9">
        <w:rPr>
          <w:rFonts w:asciiTheme="majorHAnsi" w:hAnsiTheme="majorHAnsi"/>
          <w:sz w:val="22"/>
          <w:szCs w:val="22"/>
        </w:rPr>
        <w:t>ownership role of the RBI from public</w:t>
      </w:r>
      <w:r w:rsidR="00274C2F">
        <w:rPr>
          <w:rFonts w:asciiTheme="majorHAnsi" w:hAnsiTheme="majorHAnsi"/>
          <w:sz w:val="22"/>
          <w:szCs w:val="22"/>
        </w:rPr>
        <w:t xml:space="preserve"> sector banks</w:t>
      </w:r>
      <w:r w:rsidR="00BB34C9" w:rsidRPr="00BB34C9">
        <w:rPr>
          <w:rFonts w:asciiTheme="majorHAnsi" w:hAnsiTheme="majorHAnsi"/>
          <w:sz w:val="22"/>
          <w:szCs w:val="22"/>
        </w:rPr>
        <w:t>, switching it to a regulator’s function instead.</w:t>
      </w:r>
    </w:p>
    <w:p w14:paraId="6D376430" w14:textId="10528473" w:rsidR="00BB34C9" w:rsidRDefault="00453684" w:rsidP="00BB34C9">
      <w:pPr>
        <w:pStyle w:val="ListParagraph"/>
        <w:numPr>
          <w:ilvl w:val="0"/>
          <w:numId w:val="3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Strengthen the banking system: </w:t>
      </w:r>
      <w:r w:rsidR="00274C2F">
        <w:rPr>
          <w:rFonts w:asciiTheme="majorHAnsi" w:hAnsiTheme="majorHAnsi"/>
          <w:sz w:val="22"/>
          <w:szCs w:val="22"/>
        </w:rPr>
        <w:t>merge and consolidate</w:t>
      </w:r>
      <w:r w:rsidR="007D4F7C">
        <w:rPr>
          <w:rFonts w:asciiTheme="majorHAnsi" w:hAnsiTheme="majorHAnsi"/>
          <w:sz w:val="22"/>
          <w:szCs w:val="22"/>
        </w:rPr>
        <w:t xml:space="preserve"> existing public sector banks in India by building a three-tier system of three large banks with international operations, eight to ten national banks, and a large number of local banks.</w:t>
      </w:r>
    </w:p>
    <w:p w14:paraId="52C81874" w14:textId="2713AC03" w:rsidR="00500EAA" w:rsidRDefault="00274C2F" w:rsidP="00BB34C9">
      <w:pPr>
        <w:pStyle w:val="ListParagraph"/>
        <w:numPr>
          <w:ilvl w:val="0"/>
          <w:numId w:val="3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Improve</w:t>
      </w:r>
      <w:r w:rsidR="002037A7">
        <w:rPr>
          <w:rFonts w:asciiTheme="majorHAnsi" w:hAnsiTheme="majorHAnsi"/>
          <w:sz w:val="22"/>
          <w:szCs w:val="22"/>
        </w:rPr>
        <w:t xml:space="preserve"> the provisioning norms: by raising the Capita</w:t>
      </w:r>
      <w:r w:rsidR="005E632F">
        <w:rPr>
          <w:rFonts w:asciiTheme="majorHAnsi" w:hAnsiTheme="majorHAnsi"/>
          <w:sz w:val="22"/>
          <w:szCs w:val="22"/>
        </w:rPr>
        <w:t xml:space="preserve">l Adequacy Ratio (CAR) to 9% by 2000 and to 10% by 2002, </w:t>
      </w:r>
      <w:r w:rsidR="00186CC2">
        <w:rPr>
          <w:rFonts w:asciiTheme="majorHAnsi" w:hAnsiTheme="majorHAnsi"/>
          <w:sz w:val="22"/>
          <w:szCs w:val="22"/>
        </w:rPr>
        <w:t xml:space="preserve">and </w:t>
      </w:r>
      <w:r w:rsidR="005E632F">
        <w:rPr>
          <w:rFonts w:asciiTheme="majorHAnsi" w:hAnsiTheme="majorHAnsi"/>
          <w:sz w:val="22"/>
          <w:szCs w:val="22"/>
        </w:rPr>
        <w:t>enforcing penalties on banks that failed to meet these requirements.</w:t>
      </w:r>
    </w:p>
    <w:p w14:paraId="68632E97" w14:textId="409EA89A" w:rsidR="005E632F" w:rsidRDefault="00186CC2" w:rsidP="00BB34C9">
      <w:pPr>
        <w:pStyle w:val="ListParagraph"/>
        <w:numPr>
          <w:ilvl w:val="0"/>
          <w:numId w:val="3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Restructure</w:t>
      </w:r>
      <w:r w:rsidR="00D02B4D">
        <w:rPr>
          <w:rFonts w:asciiTheme="majorHAnsi" w:hAnsiTheme="majorHAnsi"/>
          <w:sz w:val="22"/>
          <w:szCs w:val="22"/>
        </w:rPr>
        <w:t xml:space="preserve"> Non-Performing Assets (NPAs): </w:t>
      </w:r>
      <w:r>
        <w:rPr>
          <w:rFonts w:asciiTheme="majorHAnsi" w:hAnsiTheme="majorHAnsi"/>
          <w:sz w:val="22"/>
          <w:szCs w:val="22"/>
        </w:rPr>
        <w:t xml:space="preserve">a) </w:t>
      </w:r>
      <w:r w:rsidR="00C7676D">
        <w:rPr>
          <w:rFonts w:asciiTheme="majorHAnsi" w:hAnsiTheme="majorHAnsi"/>
          <w:sz w:val="22"/>
          <w:szCs w:val="22"/>
        </w:rPr>
        <w:t>r</w:t>
      </w:r>
      <w:r>
        <w:rPr>
          <w:rFonts w:asciiTheme="majorHAnsi" w:hAnsiTheme="majorHAnsi"/>
          <w:sz w:val="22"/>
          <w:szCs w:val="22"/>
        </w:rPr>
        <w:t>educe and gradually phase</w:t>
      </w:r>
      <w:r w:rsidR="00C7676D">
        <w:rPr>
          <w:rFonts w:asciiTheme="majorHAnsi" w:hAnsiTheme="majorHAnsi"/>
          <w:sz w:val="22"/>
          <w:szCs w:val="22"/>
        </w:rPr>
        <w:t xml:space="preserve"> out the </w:t>
      </w:r>
      <w:r>
        <w:rPr>
          <w:rFonts w:asciiTheme="majorHAnsi" w:hAnsiTheme="majorHAnsi"/>
          <w:sz w:val="22"/>
          <w:szCs w:val="22"/>
        </w:rPr>
        <w:t>PSL</w:t>
      </w:r>
      <w:r w:rsidR="00C7676D">
        <w:rPr>
          <w:rFonts w:asciiTheme="majorHAnsi" w:hAnsiTheme="majorHAnsi"/>
          <w:sz w:val="22"/>
          <w:szCs w:val="22"/>
        </w:rPr>
        <w:t xml:space="preserve"> requ</w:t>
      </w:r>
      <w:r w:rsidR="00FA70E1">
        <w:rPr>
          <w:rFonts w:asciiTheme="majorHAnsi" w:hAnsiTheme="majorHAnsi"/>
          <w:sz w:val="22"/>
          <w:szCs w:val="22"/>
        </w:rPr>
        <w:t xml:space="preserve">irements on banks in India, b) </w:t>
      </w:r>
      <w:r w:rsidR="00D16F7D">
        <w:rPr>
          <w:rFonts w:asciiTheme="majorHAnsi" w:hAnsiTheme="majorHAnsi"/>
          <w:sz w:val="22"/>
          <w:szCs w:val="22"/>
        </w:rPr>
        <w:t xml:space="preserve">build a formal system for identifying and classifying NPAs, and </w:t>
      </w:r>
      <w:r w:rsidR="00FA70E1">
        <w:rPr>
          <w:rFonts w:asciiTheme="majorHAnsi" w:hAnsiTheme="majorHAnsi"/>
          <w:sz w:val="22"/>
          <w:szCs w:val="22"/>
        </w:rPr>
        <w:t>c</w:t>
      </w:r>
      <w:r w:rsidR="00C7676D">
        <w:rPr>
          <w:rFonts w:asciiTheme="majorHAnsi" w:hAnsiTheme="majorHAnsi"/>
          <w:sz w:val="22"/>
          <w:szCs w:val="22"/>
        </w:rPr>
        <w:t xml:space="preserve">) creation of </w:t>
      </w:r>
      <w:proofErr w:type="gramStart"/>
      <w:r w:rsidR="00C7676D">
        <w:rPr>
          <w:rFonts w:asciiTheme="majorHAnsi" w:hAnsiTheme="majorHAnsi"/>
          <w:sz w:val="22"/>
          <w:szCs w:val="22"/>
        </w:rPr>
        <w:t>a</w:t>
      </w:r>
      <w:proofErr w:type="gramEnd"/>
      <w:r w:rsidR="00C7676D">
        <w:rPr>
          <w:rFonts w:asciiTheme="majorHAnsi" w:hAnsiTheme="majorHAnsi"/>
          <w:sz w:val="22"/>
          <w:szCs w:val="22"/>
        </w:rPr>
        <w:t xml:space="preserve"> Asset R</w:t>
      </w:r>
      <w:r w:rsidR="00FA70E1">
        <w:rPr>
          <w:rFonts w:asciiTheme="majorHAnsi" w:hAnsiTheme="majorHAnsi"/>
          <w:sz w:val="22"/>
          <w:szCs w:val="22"/>
        </w:rPr>
        <w:t>e</w:t>
      </w:r>
      <w:r w:rsidR="00C7676D">
        <w:rPr>
          <w:rFonts w:asciiTheme="majorHAnsi" w:hAnsiTheme="majorHAnsi"/>
          <w:sz w:val="22"/>
          <w:szCs w:val="22"/>
        </w:rPr>
        <w:t xml:space="preserve">construction </w:t>
      </w:r>
      <w:r w:rsidR="00FA70E1">
        <w:rPr>
          <w:rFonts w:asciiTheme="majorHAnsi" w:hAnsiTheme="majorHAnsi"/>
          <w:sz w:val="22"/>
          <w:szCs w:val="22"/>
        </w:rPr>
        <w:t>Funds (ARFs) or Asset Reconstruction Companies to take over NPAs of banks.</w:t>
      </w:r>
    </w:p>
    <w:p w14:paraId="61241067" w14:textId="1E021E12" w:rsidR="00ED70F9" w:rsidRPr="005B5AD6" w:rsidRDefault="00734C7C" w:rsidP="005B5AD6">
      <w:pPr>
        <w:pStyle w:val="Heading3"/>
        <w:spacing w:after="120"/>
        <w:rPr>
          <w:color w:val="auto"/>
        </w:rPr>
      </w:pPr>
      <w:bookmarkStart w:id="4" w:name="_Toc307918016"/>
      <w:r w:rsidRPr="005B5AD6">
        <w:rPr>
          <w:color w:val="auto"/>
        </w:rPr>
        <w:t>Impact of deregulation and implementation of the recommendations:</w:t>
      </w:r>
      <w:bookmarkEnd w:id="4"/>
    </w:p>
    <w:p w14:paraId="52653C52" w14:textId="3AD62661" w:rsidR="00734C7C" w:rsidRDefault="00CF6D13" w:rsidP="00E00128">
      <w:p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The most significant impact of the NEP and </w:t>
      </w:r>
      <w:r w:rsidR="00B60222">
        <w:rPr>
          <w:rFonts w:asciiTheme="majorHAnsi" w:hAnsiTheme="majorHAnsi"/>
          <w:sz w:val="22"/>
          <w:szCs w:val="22"/>
        </w:rPr>
        <w:t>the subsequent deregulation was a</w:t>
      </w:r>
      <w:r>
        <w:rPr>
          <w:rFonts w:asciiTheme="majorHAnsi" w:hAnsiTheme="majorHAnsi"/>
          <w:sz w:val="22"/>
          <w:szCs w:val="22"/>
        </w:rPr>
        <w:t xml:space="preserve"> set of guidelines issued by the RBI in 1992 that permitted the entry of new domestic private banks into the sector. </w:t>
      </w:r>
      <w:r w:rsidR="00804302">
        <w:rPr>
          <w:rFonts w:asciiTheme="majorHAnsi" w:hAnsiTheme="majorHAnsi"/>
          <w:sz w:val="22"/>
          <w:szCs w:val="22"/>
        </w:rPr>
        <w:t>As a result, eight new banks started operations from 1995, w</w:t>
      </w:r>
      <w:r w:rsidR="001466BA">
        <w:rPr>
          <w:rFonts w:asciiTheme="majorHAnsi" w:hAnsiTheme="majorHAnsi"/>
          <w:sz w:val="22"/>
          <w:szCs w:val="22"/>
        </w:rPr>
        <w:t>ith a total of ten by 1999. The reforms can be further divided into four main phases:</w:t>
      </w:r>
    </w:p>
    <w:p w14:paraId="16B9F5A3" w14:textId="55FC1B6A" w:rsidR="001466BA" w:rsidRPr="0088731A" w:rsidRDefault="001466BA" w:rsidP="0088731A">
      <w:pPr>
        <w:pStyle w:val="ListParagraph"/>
        <w:numPr>
          <w:ilvl w:val="0"/>
          <w:numId w:val="4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88731A">
        <w:rPr>
          <w:rFonts w:asciiTheme="majorHAnsi" w:hAnsiTheme="majorHAnsi"/>
          <w:sz w:val="22"/>
          <w:szCs w:val="22"/>
        </w:rPr>
        <w:t xml:space="preserve">Phase-I (1992 – 1995): </w:t>
      </w:r>
      <w:r w:rsidR="001E390F" w:rsidRPr="0088731A">
        <w:rPr>
          <w:rFonts w:asciiTheme="majorHAnsi" w:hAnsiTheme="majorHAnsi"/>
          <w:sz w:val="22"/>
          <w:szCs w:val="22"/>
        </w:rPr>
        <w:t xml:space="preserve">a) </w:t>
      </w:r>
      <w:r w:rsidR="0088731A" w:rsidRPr="0088731A">
        <w:rPr>
          <w:rFonts w:asciiTheme="majorHAnsi" w:hAnsiTheme="majorHAnsi"/>
          <w:sz w:val="22"/>
          <w:szCs w:val="22"/>
        </w:rPr>
        <w:t>licenses to new domestic private sector bank</w:t>
      </w:r>
      <w:r w:rsidR="00FD2D0D">
        <w:rPr>
          <w:rFonts w:asciiTheme="majorHAnsi" w:hAnsiTheme="majorHAnsi"/>
          <w:sz w:val="22"/>
          <w:szCs w:val="22"/>
        </w:rPr>
        <w:t>s</w:t>
      </w:r>
      <w:r w:rsidR="0088731A" w:rsidRPr="0088731A">
        <w:rPr>
          <w:rFonts w:asciiTheme="majorHAnsi" w:hAnsiTheme="majorHAnsi"/>
          <w:sz w:val="22"/>
          <w:szCs w:val="22"/>
        </w:rPr>
        <w:t xml:space="preserve">, </w:t>
      </w:r>
      <w:r w:rsidR="003312EE">
        <w:rPr>
          <w:rFonts w:asciiTheme="majorHAnsi" w:hAnsiTheme="majorHAnsi"/>
          <w:sz w:val="22"/>
          <w:szCs w:val="22"/>
        </w:rPr>
        <w:t xml:space="preserve">and </w:t>
      </w:r>
      <w:r w:rsidR="0088731A" w:rsidRPr="0088731A">
        <w:rPr>
          <w:rFonts w:asciiTheme="majorHAnsi" w:hAnsiTheme="majorHAnsi"/>
          <w:sz w:val="22"/>
          <w:szCs w:val="22"/>
        </w:rPr>
        <w:t xml:space="preserve">b) </w:t>
      </w:r>
      <w:r w:rsidR="00FD2D0D">
        <w:rPr>
          <w:rFonts w:asciiTheme="majorHAnsi" w:hAnsiTheme="majorHAnsi"/>
          <w:sz w:val="22"/>
          <w:szCs w:val="22"/>
        </w:rPr>
        <w:t xml:space="preserve">beginning of </w:t>
      </w:r>
      <w:r w:rsidR="0088731A" w:rsidRPr="0088731A">
        <w:rPr>
          <w:rFonts w:asciiTheme="majorHAnsi" w:hAnsiTheme="majorHAnsi"/>
          <w:sz w:val="22"/>
          <w:szCs w:val="22"/>
        </w:rPr>
        <w:t>deregulation of interest rates.</w:t>
      </w:r>
    </w:p>
    <w:p w14:paraId="183FD1A0" w14:textId="43B4A499" w:rsidR="0088731A" w:rsidRDefault="0088731A" w:rsidP="0088731A">
      <w:pPr>
        <w:pStyle w:val="ListParagraph"/>
        <w:numPr>
          <w:ilvl w:val="0"/>
          <w:numId w:val="4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Phase-II (1995 – 1997): a) </w:t>
      </w:r>
      <w:r w:rsidR="00FD2D0D">
        <w:rPr>
          <w:rFonts w:asciiTheme="majorHAnsi" w:hAnsiTheme="majorHAnsi"/>
          <w:sz w:val="22"/>
          <w:szCs w:val="22"/>
        </w:rPr>
        <w:t xml:space="preserve">entry of eight new domestic private sector banks, </w:t>
      </w:r>
      <w:r w:rsidR="003312EE">
        <w:rPr>
          <w:rFonts w:asciiTheme="majorHAnsi" w:hAnsiTheme="majorHAnsi"/>
          <w:sz w:val="22"/>
          <w:szCs w:val="22"/>
        </w:rPr>
        <w:t xml:space="preserve">and </w:t>
      </w:r>
      <w:r w:rsidR="00FD2D0D">
        <w:rPr>
          <w:rFonts w:asciiTheme="majorHAnsi" w:hAnsiTheme="majorHAnsi"/>
          <w:sz w:val="22"/>
          <w:szCs w:val="22"/>
        </w:rPr>
        <w:t>b) further deregulation of fixed interest rate regime.</w:t>
      </w:r>
    </w:p>
    <w:p w14:paraId="5A37D3AC" w14:textId="041B66E4" w:rsidR="00FD2D0D" w:rsidRDefault="00B14C42" w:rsidP="0088731A">
      <w:pPr>
        <w:pStyle w:val="ListParagraph"/>
        <w:numPr>
          <w:ilvl w:val="0"/>
          <w:numId w:val="4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Phase-III (</w:t>
      </w:r>
      <w:r w:rsidR="003312EE">
        <w:rPr>
          <w:rFonts w:asciiTheme="majorHAnsi" w:hAnsiTheme="majorHAnsi"/>
          <w:sz w:val="22"/>
          <w:szCs w:val="22"/>
        </w:rPr>
        <w:t>1997 – 1999): a) entry of two more domestic private sector banks, and b) removal of credit allocation schemes and move to subsidized interest rates for priority sector.</w:t>
      </w:r>
    </w:p>
    <w:p w14:paraId="2A46DC1F" w14:textId="273D8819" w:rsidR="003312EE" w:rsidRDefault="00B60222" w:rsidP="0088731A">
      <w:pPr>
        <w:pStyle w:val="ListParagraph"/>
        <w:numPr>
          <w:ilvl w:val="0"/>
          <w:numId w:val="4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Phase-IV (1999 – Now): a) d</w:t>
      </w:r>
      <w:r w:rsidR="00762CC1">
        <w:rPr>
          <w:rFonts w:asciiTheme="majorHAnsi" w:hAnsiTheme="majorHAnsi"/>
          <w:sz w:val="22"/>
          <w:szCs w:val="22"/>
        </w:rPr>
        <w:t>eregulation of fixed service charge regime, b) issuance of more licenses to both domestic and foreign</w:t>
      </w:r>
      <w:r w:rsidR="0056791F">
        <w:rPr>
          <w:rFonts w:asciiTheme="majorHAnsi" w:hAnsiTheme="majorHAnsi"/>
          <w:sz w:val="22"/>
          <w:szCs w:val="22"/>
        </w:rPr>
        <w:t xml:space="preserve"> private sector banks, and c) mergers and consolidation in existing banking industry.</w:t>
      </w:r>
    </w:p>
    <w:p w14:paraId="277E89AA" w14:textId="77777777" w:rsidR="005B5AD6" w:rsidRDefault="005B5AD6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4B50F738" w14:textId="7279033F" w:rsidR="00AC7E5C" w:rsidRPr="005B5AD6" w:rsidRDefault="00E42CEB" w:rsidP="005B5AD6">
      <w:pPr>
        <w:pStyle w:val="Heading2"/>
        <w:spacing w:after="120"/>
        <w:rPr>
          <w:color w:val="auto"/>
        </w:rPr>
      </w:pPr>
      <w:bookmarkStart w:id="5" w:name="_Toc307918017"/>
      <w:r w:rsidRPr="005B5AD6">
        <w:rPr>
          <w:color w:val="auto"/>
        </w:rPr>
        <w:lastRenderedPageBreak/>
        <w:t>F</w:t>
      </w:r>
      <w:r w:rsidR="00CF7215" w:rsidRPr="005B5AD6">
        <w:rPr>
          <w:color w:val="auto"/>
        </w:rPr>
        <w:t>eatures of the Indian banking system:</w:t>
      </w:r>
      <w:bookmarkEnd w:id="5"/>
    </w:p>
    <w:p w14:paraId="7C28EDA4" w14:textId="442E7070" w:rsidR="00CF7215" w:rsidRPr="00250FCF" w:rsidRDefault="00A04E4B" w:rsidP="00250FCF">
      <w:pPr>
        <w:pStyle w:val="ListParagraph"/>
        <w:numPr>
          <w:ilvl w:val="0"/>
          <w:numId w:val="5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250FCF">
        <w:rPr>
          <w:rFonts w:asciiTheme="majorHAnsi" w:hAnsiTheme="majorHAnsi"/>
          <w:sz w:val="22"/>
          <w:szCs w:val="22"/>
        </w:rPr>
        <w:t>A h</w:t>
      </w:r>
      <w:r w:rsidR="00964730" w:rsidRPr="00250FCF">
        <w:rPr>
          <w:rFonts w:asciiTheme="majorHAnsi" w:hAnsiTheme="majorHAnsi"/>
          <w:sz w:val="22"/>
          <w:szCs w:val="22"/>
        </w:rPr>
        <w:t>igh domestic savings to GDP ratio (~29% from 2010 –</w:t>
      </w:r>
      <w:r w:rsidRPr="00250FCF">
        <w:rPr>
          <w:rFonts w:asciiTheme="majorHAnsi" w:hAnsiTheme="majorHAnsi"/>
          <w:sz w:val="22"/>
          <w:szCs w:val="22"/>
        </w:rPr>
        <w:t xml:space="preserve"> 2015) and watchful regulation of the RBI provide stable and tempered growth to the entire sector.</w:t>
      </w:r>
    </w:p>
    <w:p w14:paraId="245B0706" w14:textId="104EA09E" w:rsidR="006B415F" w:rsidRDefault="007F440D" w:rsidP="00BC7AD7">
      <w:pPr>
        <w:pStyle w:val="ListParagraph"/>
        <w:numPr>
          <w:ilvl w:val="0"/>
          <w:numId w:val="5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250FCF">
        <w:rPr>
          <w:rFonts w:asciiTheme="majorHAnsi" w:hAnsiTheme="majorHAnsi"/>
          <w:sz w:val="22"/>
          <w:szCs w:val="22"/>
        </w:rPr>
        <w:t xml:space="preserve">Although the total bank credit (loans) in India has grown rapidly since the reforms, at a CAGR of </w:t>
      </w:r>
      <w:r w:rsidR="003656F2" w:rsidRPr="00250FCF">
        <w:rPr>
          <w:rFonts w:asciiTheme="majorHAnsi" w:hAnsiTheme="majorHAnsi"/>
          <w:sz w:val="22"/>
          <w:szCs w:val="22"/>
        </w:rPr>
        <w:t xml:space="preserve">almost 17.5% from 1990-91 </w:t>
      </w:r>
      <w:r w:rsidR="00F45F35" w:rsidRPr="00250FCF">
        <w:rPr>
          <w:rFonts w:asciiTheme="majorHAnsi" w:hAnsiTheme="majorHAnsi"/>
          <w:sz w:val="22"/>
          <w:szCs w:val="22"/>
        </w:rPr>
        <w:t>to 2014-15, the total deposits have also grown at a CAGR of around 16.5% over the same period. Thus, the Indian banking system does not suffer from the excesses of other developing economies like China, where the credit growth far outpaces savings/deposit growth.</w:t>
      </w:r>
    </w:p>
    <w:p w14:paraId="08D21F39" w14:textId="20E23700" w:rsidR="000218DC" w:rsidRDefault="00992CCB" w:rsidP="00BC7AD7">
      <w:pPr>
        <w:pStyle w:val="ListParagraph"/>
        <w:numPr>
          <w:ilvl w:val="0"/>
          <w:numId w:val="5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250FCF">
        <w:rPr>
          <w:rFonts w:asciiTheme="majorHAnsi" w:hAnsiTheme="majorHAnsi"/>
          <w:sz w:val="22"/>
          <w:szCs w:val="22"/>
        </w:rPr>
        <w:t xml:space="preserve">Indian banks are, even now, relatively delinked from the global banking system. Though a number of foreign banks have begun to expand into India, the RBI’s cautious approach into issuing bank licenses means that </w:t>
      </w:r>
      <w:r w:rsidR="008A76CE" w:rsidRPr="00250FCF">
        <w:rPr>
          <w:rFonts w:asciiTheme="majorHAnsi" w:hAnsiTheme="majorHAnsi"/>
          <w:sz w:val="22"/>
          <w:szCs w:val="22"/>
        </w:rPr>
        <w:t>the sector grows at a controlled pace. This, however, also directly benefits the Indian banking system by insulating it from global financial crises (it came through mostly unscathed in the 2008 crisis).</w:t>
      </w:r>
    </w:p>
    <w:p w14:paraId="213BDB09" w14:textId="51B7A098" w:rsidR="00F45F35" w:rsidRDefault="004A008B" w:rsidP="00BC7AD7">
      <w:pPr>
        <w:pStyle w:val="ListParagraph"/>
        <w:numPr>
          <w:ilvl w:val="0"/>
          <w:numId w:val="5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250FCF">
        <w:rPr>
          <w:rFonts w:asciiTheme="majorHAnsi" w:hAnsiTheme="majorHAnsi"/>
          <w:sz w:val="22"/>
          <w:szCs w:val="22"/>
        </w:rPr>
        <w:t xml:space="preserve">The restrictions on capital account convertibility in India have, expectedly, </w:t>
      </w:r>
      <w:r w:rsidR="001C2F13" w:rsidRPr="00250FCF">
        <w:rPr>
          <w:rFonts w:asciiTheme="majorHAnsi" w:hAnsiTheme="majorHAnsi"/>
          <w:sz w:val="22"/>
          <w:szCs w:val="22"/>
        </w:rPr>
        <w:t xml:space="preserve">further </w:t>
      </w:r>
      <w:r w:rsidRPr="00250FCF">
        <w:rPr>
          <w:rFonts w:asciiTheme="majorHAnsi" w:hAnsiTheme="majorHAnsi"/>
          <w:sz w:val="22"/>
          <w:szCs w:val="22"/>
        </w:rPr>
        <w:t>ins</w:t>
      </w:r>
      <w:r w:rsidR="001C2F13" w:rsidRPr="00250FCF">
        <w:rPr>
          <w:rFonts w:asciiTheme="majorHAnsi" w:hAnsiTheme="majorHAnsi"/>
          <w:sz w:val="22"/>
          <w:szCs w:val="22"/>
        </w:rPr>
        <w:t>ulated the financial system from global capital shocks. Though India allows full current account convertibility (forex flows in exports and imports of merchandise and i</w:t>
      </w:r>
      <w:r w:rsidR="004D7AA2" w:rsidRPr="00250FCF">
        <w:rPr>
          <w:rFonts w:asciiTheme="majorHAnsi" w:hAnsiTheme="majorHAnsi"/>
          <w:sz w:val="22"/>
          <w:szCs w:val="22"/>
        </w:rPr>
        <w:t>nvisibles can be freely converted</w:t>
      </w:r>
      <w:r w:rsidR="000218DC" w:rsidRPr="00250FCF">
        <w:rPr>
          <w:rFonts w:asciiTheme="majorHAnsi" w:hAnsiTheme="majorHAnsi"/>
          <w:sz w:val="22"/>
          <w:szCs w:val="22"/>
        </w:rPr>
        <w:t xml:space="preserve">), it has strict </w:t>
      </w:r>
      <w:r w:rsidR="005E7984" w:rsidRPr="00250FCF">
        <w:rPr>
          <w:rFonts w:asciiTheme="majorHAnsi" w:hAnsiTheme="majorHAnsi"/>
          <w:sz w:val="22"/>
          <w:szCs w:val="22"/>
        </w:rPr>
        <w:t>ceilings</w:t>
      </w:r>
      <w:r w:rsidR="000218DC" w:rsidRPr="00250FCF">
        <w:rPr>
          <w:rFonts w:asciiTheme="majorHAnsi" w:hAnsiTheme="majorHAnsi"/>
          <w:sz w:val="22"/>
          <w:szCs w:val="22"/>
        </w:rPr>
        <w:t xml:space="preserve"> on the capital account (i.e. capital flows</w:t>
      </w:r>
      <w:r w:rsidR="0027606F" w:rsidRPr="00250FCF">
        <w:rPr>
          <w:rFonts w:asciiTheme="majorHAnsi" w:hAnsiTheme="majorHAnsi"/>
          <w:sz w:val="22"/>
          <w:szCs w:val="22"/>
        </w:rPr>
        <w:t>, including direct investments and borrowings,</w:t>
      </w:r>
      <w:r w:rsidR="000218DC" w:rsidRPr="00250FCF">
        <w:rPr>
          <w:rFonts w:asciiTheme="majorHAnsi" w:hAnsiTheme="majorHAnsi"/>
          <w:sz w:val="22"/>
          <w:szCs w:val="22"/>
        </w:rPr>
        <w:t xml:space="preserve"> cannot be freely converted between currencies).</w:t>
      </w:r>
    </w:p>
    <w:p w14:paraId="4931A5A9" w14:textId="4DFA9A83" w:rsidR="00A04E4B" w:rsidRDefault="00170EB8" w:rsidP="00BC7AD7">
      <w:pPr>
        <w:pStyle w:val="ListParagraph"/>
        <w:numPr>
          <w:ilvl w:val="0"/>
          <w:numId w:val="5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250FCF">
        <w:rPr>
          <w:rFonts w:asciiTheme="majorHAnsi" w:hAnsiTheme="majorHAnsi"/>
          <w:sz w:val="22"/>
          <w:szCs w:val="22"/>
        </w:rPr>
        <w:t>Priority Sector Lending</w:t>
      </w:r>
      <w:r w:rsidR="004448DB" w:rsidRPr="00250FCF">
        <w:rPr>
          <w:rFonts w:asciiTheme="majorHAnsi" w:hAnsiTheme="majorHAnsi"/>
          <w:sz w:val="22"/>
          <w:szCs w:val="22"/>
        </w:rPr>
        <w:t xml:space="preserve"> (PSL)</w:t>
      </w:r>
      <w:r w:rsidRPr="00250FCF">
        <w:rPr>
          <w:rFonts w:asciiTheme="majorHAnsi" w:hAnsiTheme="majorHAnsi"/>
          <w:sz w:val="22"/>
          <w:szCs w:val="22"/>
        </w:rPr>
        <w:t xml:space="preserve">: </w:t>
      </w:r>
      <w:r w:rsidR="004448DB" w:rsidRPr="00250FCF">
        <w:rPr>
          <w:rFonts w:asciiTheme="majorHAnsi" w:hAnsiTheme="majorHAnsi"/>
          <w:sz w:val="22"/>
          <w:szCs w:val="22"/>
        </w:rPr>
        <w:t>The Priority Sector refers to sectors that are deemed critical by the governments, and which have a high probability of not receiving adequate or timely credit</w:t>
      </w:r>
      <w:r w:rsidR="00F72D03" w:rsidRPr="00250FCF">
        <w:rPr>
          <w:rFonts w:asciiTheme="majorHAnsi" w:hAnsiTheme="majorHAnsi"/>
          <w:sz w:val="22"/>
          <w:szCs w:val="22"/>
        </w:rPr>
        <w:t xml:space="preserve">. Thus, these include the following categories of lending: a) agriculture and allied activities, b) small-scale industries, c) small enterprises, d) </w:t>
      </w:r>
      <w:r w:rsidR="0062648C" w:rsidRPr="00250FCF">
        <w:rPr>
          <w:rFonts w:asciiTheme="majorHAnsi" w:hAnsiTheme="majorHAnsi"/>
          <w:sz w:val="22"/>
          <w:szCs w:val="22"/>
        </w:rPr>
        <w:t>micro-credit, e) educational loans, and f) low-income housing loans.</w:t>
      </w:r>
      <w:r w:rsidR="00B50F8F" w:rsidRPr="00250FCF">
        <w:rPr>
          <w:rFonts w:asciiTheme="majorHAnsi" w:hAnsiTheme="majorHAnsi"/>
          <w:sz w:val="22"/>
          <w:szCs w:val="22"/>
        </w:rPr>
        <w:t xml:space="preserve"> The RBI has mandated that a portion of the overall credit disbursed by all banks operating in India must be directed to the Priority Sector. </w:t>
      </w:r>
      <w:r w:rsidR="008E2EE6" w:rsidRPr="00250FCF">
        <w:rPr>
          <w:rFonts w:asciiTheme="majorHAnsi" w:hAnsiTheme="majorHAnsi"/>
          <w:sz w:val="22"/>
          <w:szCs w:val="22"/>
        </w:rPr>
        <w:t xml:space="preserve">For domestic banks (public and private), this portion is 40% of their net bank credit, while the figure currently stands at 32% for </w:t>
      </w:r>
      <w:r w:rsidR="00012954" w:rsidRPr="00250FCF">
        <w:rPr>
          <w:rFonts w:asciiTheme="majorHAnsi" w:hAnsiTheme="majorHAnsi"/>
          <w:sz w:val="22"/>
          <w:szCs w:val="22"/>
        </w:rPr>
        <w:t>foreign banks in India.</w:t>
      </w:r>
    </w:p>
    <w:p w14:paraId="5FD01D22" w14:textId="13F69080" w:rsidR="00012954" w:rsidRDefault="00F1303B" w:rsidP="00BC7AD7">
      <w:pPr>
        <w:pStyle w:val="ListParagraph"/>
        <w:numPr>
          <w:ilvl w:val="0"/>
          <w:numId w:val="5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250FCF">
        <w:rPr>
          <w:rFonts w:asciiTheme="majorHAnsi" w:hAnsiTheme="majorHAnsi"/>
          <w:sz w:val="22"/>
          <w:szCs w:val="22"/>
        </w:rPr>
        <w:t xml:space="preserve">Most of the </w:t>
      </w:r>
      <w:r w:rsidR="00177F1A" w:rsidRPr="00250FCF">
        <w:rPr>
          <w:rFonts w:asciiTheme="majorHAnsi" w:hAnsiTheme="majorHAnsi"/>
          <w:sz w:val="22"/>
          <w:szCs w:val="22"/>
        </w:rPr>
        <w:t>money</w:t>
      </w:r>
      <w:r w:rsidRPr="00250FCF">
        <w:rPr>
          <w:rFonts w:asciiTheme="majorHAnsi" w:hAnsiTheme="majorHAnsi"/>
          <w:sz w:val="22"/>
          <w:szCs w:val="22"/>
        </w:rPr>
        <w:t xml:space="preserve"> held in bank accounts in India is concentrated in </w:t>
      </w:r>
      <w:r w:rsidR="00061BC3" w:rsidRPr="00250FCF">
        <w:rPr>
          <w:rFonts w:asciiTheme="majorHAnsi" w:hAnsiTheme="majorHAnsi"/>
          <w:sz w:val="22"/>
          <w:szCs w:val="22"/>
        </w:rPr>
        <w:t xml:space="preserve">the metropolitan and urban areas. This is </w:t>
      </w:r>
      <w:proofErr w:type="spellStart"/>
      <w:r w:rsidR="00061BC3" w:rsidRPr="00250FCF">
        <w:rPr>
          <w:rFonts w:asciiTheme="majorHAnsi" w:hAnsiTheme="majorHAnsi"/>
          <w:sz w:val="22"/>
          <w:szCs w:val="22"/>
        </w:rPr>
        <w:t>inspite</w:t>
      </w:r>
      <w:proofErr w:type="spellEnd"/>
      <w:r w:rsidR="00061BC3" w:rsidRPr="00250FCF">
        <w:rPr>
          <w:rFonts w:asciiTheme="majorHAnsi" w:hAnsiTheme="majorHAnsi"/>
          <w:sz w:val="22"/>
          <w:szCs w:val="22"/>
        </w:rPr>
        <w:t xml:space="preserve"> of a </w:t>
      </w:r>
      <w:r w:rsidR="00177F1A" w:rsidRPr="00250FCF">
        <w:rPr>
          <w:rFonts w:asciiTheme="majorHAnsi" w:hAnsiTheme="majorHAnsi"/>
          <w:sz w:val="22"/>
          <w:szCs w:val="22"/>
        </w:rPr>
        <w:t>higher concentration</w:t>
      </w:r>
      <w:r w:rsidR="00061BC3" w:rsidRPr="00250FCF">
        <w:rPr>
          <w:rFonts w:asciiTheme="majorHAnsi" w:hAnsiTheme="majorHAnsi"/>
          <w:sz w:val="22"/>
          <w:szCs w:val="22"/>
        </w:rPr>
        <w:t xml:space="preserve"> in the </w:t>
      </w:r>
      <w:r w:rsidR="00177F1A" w:rsidRPr="00250FCF">
        <w:rPr>
          <w:rFonts w:asciiTheme="majorHAnsi" w:hAnsiTheme="majorHAnsi"/>
          <w:sz w:val="22"/>
          <w:szCs w:val="22"/>
        </w:rPr>
        <w:t>number of accounts across rural and</w:t>
      </w:r>
      <w:r w:rsidR="00061BC3" w:rsidRPr="00250FCF">
        <w:rPr>
          <w:rFonts w:asciiTheme="majorHAnsi" w:hAnsiTheme="majorHAnsi"/>
          <w:sz w:val="22"/>
          <w:szCs w:val="22"/>
        </w:rPr>
        <w:t xml:space="preserve"> semi-urban</w:t>
      </w:r>
      <w:r w:rsidR="00177F1A" w:rsidRPr="00250FCF">
        <w:rPr>
          <w:rFonts w:asciiTheme="majorHAnsi" w:hAnsiTheme="majorHAnsi"/>
          <w:sz w:val="22"/>
          <w:szCs w:val="22"/>
        </w:rPr>
        <w:t xml:space="preserve"> areas as compared to the </w:t>
      </w:r>
      <w:r w:rsidR="00061BC3" w:rsidRPr="00250FCF">
        <w:rPr>
          <w:rFonts w:asciiTheme="majorHAnsi" w:hAnsiTheme="majorHAnsi"/>
          <w:sz w:val="22"/>
          <w:szCs w:val="22"/>
        </w:rPr>
        <w:t>urban an</w:t>
      </w:r>
      <w:r w:rsidR="00177F1A" w:rsidRPr="00250FCF">
        <w:rPr>
          <w:rFonts w:asciiTheme="majorHAnsi" w:hAnsiTheme="majorHAnsi"/>
          <w:sz w:val="22"/>
          <w:szCs w:val="22"/>
        </w:rPr>
        <w:t>d metropolitan regions. In 2014, although the number of accounts in urb</w:t>
      </w:r>
      <w:r w:rsidR="00CA6822" w:rsidRPr="00250FCF">
        <w:rPr>
          <w:rFonts w:asciiTheme="majorHAnsi" w:hAnsiTheme="majorHAnsi"/>
          <w:sz w:val="22"/>
          <w:szCs w:val="22"/>
        </w:rPr>
        <w:t>an and metropolitan regions was 39% of the total, the amount held in them was 76%</w:t>
      </w:r>
      <w:r w:rsidR="00BD1910">
        <w:rPr>
          <w:rFonts w:asciiTheme="majorHAnsi" w:hAnsiTheme="majorHAnsi"/>
          <w:sz w:val="22"/>
          <w:szCs w:val="22"/>
        </w:rPr>
        <w:t xml:space="preserve"> </w:t>
      </w:r>
      <w:r w:rsidR="00280B91" w:rsidRPr="00280B91">
        <w:rPr>
          <w:rFonts w:asciiTheme="majorHAnsi" w:hAnsiTheme="majorHAnsi"/>
          <w:i/>
          <w:sz w:val="22"/>
          <w:szCs w:val="22"/>
        </w:rPr>
        <w:t>(Appendices: Table 1</w:t>
      </w:r>
      <w:r w:rsidR="0075453E" w:rsidRPr="00280B91">
        <w:rPr>
          <w:rFonts w:asciiTheme="majorHAnsi" w:hAnsiTheme="majorHAnsi"/>
          <w:i/>
          <w:sz w:val="22"/>
          <w:szCs w:val="22"/>
        </w:rPr>
        <w:t>)</w:t>
      </w:r>
      <w:r w:rsidR="00BD1910">
        <w:rPr>
          <w:rFonts w:asciiTheme="majorHAnsi" w:hAnsiTheme="majorHAnsi"/>
          <w:sz w:val="22"/>
          <w:szCs w:val="22"/>
        </w:rPr>
        <w:t xml:space="preserve">. </w:t>
      </w:r>
      <w:r w:rsidR="00CA6822" w:rsidRPr="00250FCF">
        <w:rPr>
          <w:rFonts w:asciiTheme="majorHAnsi" w:hAnsiTheme="majorHAnsi"/>
          <w:sz w:val="22"/>
          <w:szCs w:val="22"/>
        </w:rPr>
        <w:t>Thus, the rural and semi-urban regions in India continue to remain severely under-banked. Another factor that directly influences this uneven distribution of deposits is the pr</w:t>
      </w:r>
      <w:r w:rsidR="00200F14" w:rsidRPr="00250FCF">
        <w:rPr>
          <w:rFonts w:asciiTheme="majorHAnsi" w:hAnsiTheme="majorHAnsi"/>
          <w:sz w:val="22"/>
          <w:szCs w:val="22"/>
        </w:rPr>
        <w:t xml:space="preserve">evalence of ‘black money’, or money that is held </w:t>
      </w:r>
      <w:r w:rsidR="006E003E" w:rsidRPr="00250FCF">
        <w:rPr>
          <w:rFonts w:asciiTheme="majorHAnsi" w:hAnsiTheme="majorHAnsi"/>
          <w:sz w:val="22"/>
          <w:szCs w:val="22"/>
        </w:rPr>
        <w:t xml:space="preserve">outside the formal financial and banking system. The total amount of deposits, therefore, represent only a fraction of the total money </w:t>
      </w:r>
      <w:r w:rsidR="009A1B8A">
        <w:rPr>
          <w:rFonts w:asciiTheme="majorHAnsi" w:hAnsiTheme="majorHAnsi"/>
          <w:sz w:val="22"/>
          <w:szCs w:val="22"/>
        </w:rPr>
        <w:t xml:space="preserve">actually present in the system </w:t>
      </w:r>
      <w:r w:rsidR="006E003E" w:rsidRPr="00250FCF">
        <w:rPr>
          <w:rFonts w:asciiTheme="majorHAnsi" w:hAnsiTheme="majorHAnsi"/>
          <w:sz w:val="22"/>
          <w:szCs w:val="22"/>
        </w:rPr>
        <w:t>and it is extremely difficult to quantify its magnitude.</w:t>
      </w:r>
    </w:p>
    <w:p w14:paraId="6D5991E1" w14:textId="1EC117B4" w:rsidR="006E003E" w:rsidRPr="00250FCF" w:rsidRDefault="00091768" w:rsidP="00BC7AD7">
      <w:pPr>
        <w:pStyle w:val="ListParagraph"/>
        <w:numPr>
          <w:ilvl w:val="0"/>
          <w:numId w:val="5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250FCF">
        <w:rPr>
          <w:rFonts w:asciiTheme="majorHAnsi" w:hAnsiTheme="majorHAnsi"/>
          <w:sz w:val="22"/>
          <w:szCs w:val="22"/>
        </w:rPr>
        <w:t>Systemically Important B</w:t>
      </w:r>
      <w:r w:rsidR="005634D1" w:rsidRPr="00250FCF">
        <w:rPr>
          <w:rFonts w:asciiTheme="majorHAnsi" w:hAnsiTheme="majorHAnsi"/>
          <w:sz w:val="22"/>
          <w:szCs w:val="22"/>
        </w:rPr>
        <w:t xml:space="preserve">anks: </w:t>
      </w:r>
      <w:r w:rsidRPr="00250FCF">
        <w:rPr>
          <w:rFonts w:asciiTheme="majorHAnsi" w:hAnsiTheme="majorHAnsi"/>
          <w:sz w:val="22"/>
          <w:szCs w:val="22"/>
        </w:rPr>
        <w:t xml:space="preserve">Analogous to the ‘Too Big </w:t>
      </w:r>
      <w:proofErr w:type="gramStart"/>
      <w:r w:rsidRPr="00250FCF">
        <w:rPr>
          <w:rFonts w:asciiTheme="majorHAnsi" w:hAnsiTheme="majorHAnsi"/>
          <w:sz w:val="22"/>
          <w:szCs w:val="22"/>
        </w:rPr>
        <w:t>To</w:t>
      </w:r>
      <w:proofErr w:type="gramEnd"/>
      <w:r w:rsidRPr="00250FCF">
        <w:rPr>
          <w:rFonts w:asciiTheme="majorHAnsi" w:hAnsiTheme="majorHAnsi"/>
          <w:sz w:val="22"/>
          <w:szCs w:val="22"/>
        </w:rPr>
        <w:t xml:space="preserve"> Fail’ banks and financial institutions in the US, the RBI has ident</w:t>
      </w:r>
      <w:r w:rsidR="00385383" w:rsidRPr="00250FCF">
        <w:rPr>
          <w:rFonts w:asciiTheme="majorHAnsi" w:hAnsiTheme="majorHAnsi"/>
          <w:sz w:val="22"/>
          <w:szCs w:val="22"/>
        </w:rPr>
        <w:t xml:space="preserve">ified two banks as Domestic Systematically Important Banks (D-SIBs). These banks, which have more stringent capital </w:t>
      </w:r>
      <w:r w:rsidR="00B94F17" w:rsidRPr="00250FCF">
        <w:rPr>
          <w:rFonts w:asciiTheme="majorHAnsi" w:hAnsiTheme="majorHAnsi"/>
          <w:sz w:val="22"/>
          <w:szCs w:val="22"/>
        </w:rPr>
        <w:t xml:space="preserve">requirements than the others, include the State Bank of India (SBI) and ICICI Bank. </w:t>
      </w:r>
      <w:r w:rsidR="0011564A">
        <w:rPr>
          <w:rFonts w:asciiTheme="majorHAnsi" w:hAnsiTheme="majorHAnsi"/>
          <w:sz w:val="22"/>
          <w:szCs w:val="22"/>
        </w:rPr>
        <w:t>T</w:t>
      </w:r>
      <w:r w:rsidR="009B0A09" w:rsidRPr="00250FCF">
        <w:rPr>
          <w:rFonts w:asciiTheme="majorHAnsi" w:hAnsiTheme="majorHAnsi"/>
          <w:sz w:val="22"/>
          <w:szCs w:val="22"/>
        </w:rPr>
        <w:t>he period for conforming to the</w:t>
      </w:r>
      <w:r w:rsidR="0011564A">
        <w:rPr>
          <w:rFonts w:asciiTheme="majorHAnsi" w:hAnsiTheme="majorHAnsi"/>
          <w:sz w:val="22"/>
          <w:szCs w:val="22"/>
        </w:rPr>
        <w:t>se</w:t>
      </w:r>
      <w:r w:rsidR="009B0A09" w:rsidRPr="00250FCF">
        <w:rPr>
          <w:rFonts w:asciiTheme="majorHAnsi" w:hAnsiTheme="majorHAnsi"/>
          <w:sz w:val="22"/>
          <w:szCs w:val="22"/>
        </w:rPr>
        <w:t xml:space="preserve"> </w:t>
      </w:r>
      <w:r w:rsidR="00291E97" w:rsidRPr="00250FCF">
        <w:rPr>
          <w:rFonts w:asciiTheme="majorHAnsi" w:hAnsiTheme="majorHAnsi"/>
          <w:sz w:val="22"/>
          <w:szCs w:val="22"/>
        </w:rPr>
        <w:t>requirement extends from April 2016 to April 2019.</w:t>
      </w:r>
    </w:p>
    <w:p w14:paraId="7667C5BB" w14:textId="77777777" w:rsidR="005B5AD6" w:rsidRDefault="005B5AD6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572FB7BC" w14:textId="20765356" w:rsidR="00291E97" w:rsidRPr="00FB0EDB" w:rsidRDefault="002A11EB" w:rsidP="00FB0EDB">
      <w:pPr>
        <w:pStyle w:val="Heading2"/>
        <w:spacing w:after="120"/>
        <w:rPr>
          <w:color w:val="auto"/>
        </w:rPr>
      </w:pPr>
      <w:bookmarkStart w:id="6" w:name="_Toc307918018"/>
      <w:r w:rsidRPr="00FB0EDB">
        <w:rPr>
          <w:color w:val="auto"/>
        </w:rPr>
        <w:lastRenderedPageBreak/>
        <w:t>Performance and Trends:</w:t>
      </w:r>
      <w:bookmarkEnd w:id="6"/>
    </w:p>
    <w:p w14:paraId="686A167D" w14:textId="605D03FF" w:rsidR="00092B46" w:rsidRPr="001279CB" w:rsidRDefault="00E32914" w:rsidP="001B7143">
      <w:pPr>
        <w:pStyle w:val="ListParagraph"/>
        <w:numPr>
          <w:ilvl w:val="0"/>
          <w:numId w:val="6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1279CB">
        <w:rPr>
          <w:rFonts w:asciiTheme="majorHAnsi" w:hAnsiTheme="majorHAnsi"/>
          <w:b/>
          <w:sz w:val="22"/>
          <w:szCs w:val="22"/>
        </w:rPr>
        <w:t>Recent</w:t>
      </w:r>
      <w:r w:rsidR="00092B46" w:rsidRPr="001279CB">
        <w:rPr>
          <w:rFonts w:asciiTheme="majorHAnsi" w:hAnsiTheme="majorHAnsi"/>
          <w:b/>
          <w:sz w:val="22"/>
          <w:szCs w:val="22"/>
        </w:rPr>
        <w:t xml:space="preserve"> Snapshot</w:t>
      </w:r>
      <w:r w:rsidR="0062510A" w:rsidRPr="001279CB">
        <w:rPr>
          <w:rFonts w:asciiTheme="majorHAnsi" w:hAnsiTheme="majorHAnsi"/>
          <w:sz w:val="22"/>
          <w:szCs w:val="22"/>
        </w:rPr>
        <w:t xml:space="preserve"> </w:t>
      </w:r>
      <w:r w:rsidR="0062510A" w:rsidRPr="001279CB">
        <w:rPr>
          <w:rFonts w:asciiTheme="majorHAnsi" w:hAnsiTheme="majorHAnsi"/>
          <w:i/>
          <w:sz w:val="22"/>
          <w:szCs w:val="22"/>
        </w:rPr>
        <w:t>(Appendices</w:t>
      </w:r>
      <w:r w:rsidR="00BD202A" w:rsidRPr="001279CB">
        <w:rPr>
          <w:rFonts w:asciiTheme="majorHAnsi" w:hAnsiTheme="majorHAnsi"/>
          <w:i/>
          <w:sz w:val="22"/>
          <w:szCs w:val="22"/>
        </w:rPr>
        <w:t xml:space="preserve">: Table </w:t>
      </w:r>
      <w:r w:rsidR="00783BAD" w:rsidRPr="001279CB">
        <w:rPr>
          <w:rFonts w:asciiTheme="majorHAnsi" w:hAnsiTheme="majorHAnsi"/>
          <w:i/>
          <w:sz w:val="22"/>
          <w:szCs w:val="22"/>
        </w:rPr>
        <w:t>2</w:t>
      </w:r>
      <w:r w:rsidR="00BD202A" w:rsidRPr="001279CB">
        <w:rPr>
          <w:rFonts w:asciiTheme="majorHAnsi" w:hAnsiTheme="majorHAnsi"/>
          <w:i/>
          <w:sz w:val="22"/>
          <w:szCs w:val="22"/>
        </w:rPr>
        <w:t>)</w:t>
      </w:r>
      <w:r w:rsidR="00092B46" w:rsidRPr="001279CB">
        <w:rPr>
          <w:rFonts w:asciiTheme="majorHAnsi" w:hAnsiTheme="majorHAnsi"/>
          <w:sz w:val="22"/>
          <w:szCs w:val="22"/>
        </w:rPr>
        <w:t>:</w:t>
      </w:r>
    </w:p>
    <w:p w14:paraId="23BA9773" w14:textId="2A30C261" w:rsidR="005B5B37" w:rsidRDefault="005B5B37" w:rsidP="00092B46">
      <w:pPr>
        <w:pStyle w:val="ListParagraph"/>
        <w:numPr>
          <w:ilvl w:val="1"/>
          <w:numId w:val="6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Asset quality: </w:t>
      </w:r>
      <w:r w:rsidR="00071F78">
        <w:rPr>
          <w:rFonts w:asciiTheme="majorHAnsi" w:hAnsiTheme="majorHAnsi"/>
          <w:sz w:val="22"/>
          <w:szCs w:val="22"/>
        </w:rPr>
        <w:t xml:space="preserve">The </w:t>
      </w:r>
      <w:r w:rsidR="005A2BE8">
        <w:rPr>
          <w:rFonts w:asciiTheme="majorHAnsi" w:hAnsiTheme="majorHAnsi"/>
          <w:sz w:val="22"/>
          <w:szCs w:val="22"/>
        </w:rPr>
        <w:t xml:space="preserve">policy paralysis of </w:t>
      </w:r>
      <w:r w:rsidR="00D05530">
        <w:rPr>
          <w:rFonts w:asciiTheme="majorHAnsi" w:hAnsiTheme="majorHAnsi"/>
          <w:sz w:val="22"/>
          <w:szCs w:val="22"/>
        </w:rPr>
        <w:t xml:space="preserve">the previous government and </w:t>
      </w:r>
      <w:r w:rsidR="009464AA">
        <w:rPr>
          <w:rFonts w:asciiTheme="majorHAnsi" w:hAnsiTheme="majorHAnsi"/>
          <w:sz w:val="22"/>
          <w:szCs w:val="22"/>
        </w:rPr>
        <w:t xml:space="preserve">the prevalence of high interest rates due to inflationary pressures have negatively impacted the asset quality across the banking industry. The Net NPAs have increased from 1.7% in 2013 to 2.1% in 2014, while the </w:t>
      </w:r>
      <w:r w:rsidR="00946B63">
        <w:rPr>
          <w:rFonts w:asciiTheme="majorHAnsi" w:hAnsiTheme="majorHAnsi"/>
          <w:sz w:val="22"/>
          <w:szCs w:val="22"/>
        </w:rPr>
        <w:t>Provision Coverage Ratio (according to Basel-III norms) has deteriorated from 47.6% to 44.3% during the same period.</w:t>
      </w:r>
    </w:p>
    <w:p w14:paraId="48EDAB00" w14:textId="2EA8CCE8" w:rsidR="00092B46" w:rsidRDefault="00092B46" w:rsidP="00092B46">
      <w:pPr>
        <w:pStyle w:val="ListParagraph"/>
        <w:numPr>
          <w:ilvl w:val="1"/>
          <w:numId w:val="6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Sectoral deployment of credit: </w:t>
      </w:r>
      <w:r w:rsidR="00494A40">
        <w:rPr>
          <w:rFonts w:asciiTheme="majorHAnsi" w:hAnsiTheme="majorHAnsi"/>
          <w:sz w:val="22"/>
          <w:szCs w:val="22"/>
        </w:rPr>
        <w:t xml:space="preserve">The bulk of credit </w:t>
      </w:r>
      <w:r w:rsidR="00E32914">
        <w:rPr>
          <w:rFonts w:asciiTheme="majorHAnsi" w:hAnsiTheme="majorHAnsi"/>
          <w:sz w:val="22"/>
          <w:szCs w:val="22"/>
        </w:rPr>
        <w:t>in 2014 was</w:t>
      </w:r>
      <w:r w:rsidR="00494A40">
        <w:rPr>
          <w:rFonts w:asciiTheme="majorHAnsi" w:hAnsiTheme="majorHAnsi"/>
          <w:sz w:val="22"/>
          <w:szCs w:val="22"/>
        </w:rPr>
        <w:t xml:space="preserve"> deployed toward industry (45%), with 24% to services, 19% to personal loans and 12% </w:t>
      </w:r>
      <w:r w:rsidR="003218F0">
        <w:rPr>
          <w:rFonts w:asciiTheme="majorHAnsi" w:hAnsiTheme="majorHAnsi"/>
          <w:sz w:val="22"/>
          <w:szCs w:val="22"/>
        </w:rPr>
        <w:t xml:space="preserve">to </w:t>
      </w:r>
      <w:r w:rsidR="00E32914">
        <w:rPr>
          <w:rFonts w:asciiTheme="majorHAnsi" w:hAnsiTheme="majorHAnsi"/>
          <w:sz w:val="22"/>
          <w:szCs w:val="22"/>
        </w:rPr>
        <w:t>agriculture, which was almost constant from 2013.</w:t>
      </w:r>
    </w:p>
    <w:p w14:paraId="26A545B7" w14:textId="2522C9BF" w:rsidR="00E32914" w:rsidRDefault="00E32914" w:rsidP="00092B46">
      <w:pPr>
        <w:pStyle w:val="ListParagraph"/>
        <w:numPr>
          <w:ilvl w:val="1"/>
          <w:numId w:val="6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Technological developments: While the number of credit cards from 2013 to 2014 remained largely constant at </w:t>
      </w:r>
      <w:r w:rsidR="00010FDB">
        <w:rPr>
          <w:rFonts w:asciiTheme="majorHAnsi" w:hAnsiTheme="majorHAnsi"/>
          <w:sz w:val="22"/>
          <w:szCs w:val="22"/>
        </w:rPr>
        <w:t xml:space="preserve">around 19 million, the number of debit cards increased from 331 million to 394 million. The number of ATMs in the country grew </w:t>
      </w:r>
      <w:r w:rsidR="006943ED">
        <w:rPr>
          <w:rFonts w:asciiTheme="majorHAnsi" w:hAnsiTheme="majorHAnsi"/>
          <w:sz w:val="22"/>
          <w:szCs w:val="22"/>
        </w:rPr>
        <w:t>impressively from 114,014 to 160,055 during the same period.</w:t>
      </w:r>
    </w:p>
    <w:p w14:paraId="2B5CE0A4" w14:textId="11AA0005" w:rsidR="006943ED" w:rsidRDefault="00A16E29" w:rsidP="00092B46">
      <w:pPr>
        <w:pStyle w:val="ListParagraph"/>
        <w:numPr>
          <w:ilvl w:val="1"/>
          <w:numId w:val="6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Financial inclusion metrics: </w:t>
      </w:r>
      <w:r w:rsidR="00E4465A">
        <w:rPr>
          <w:rFonts w:asciiTheme="majorHAnsi" w:hAnsiTheme="majorHAnsi"/>
          <w:sz w:val="22"/>
          <w:szCs w:val="22"/>
        </w:rPr>
        <w:t xml:space="preserve">The credit-deposit ratio remained largely constant at around 79%. The number of new bank branches opened increased from </w:t>
      </w:r>
      <w:r w:rsidR="00D068D3">
        <w:rPr>
          <w:rFonts w:asciiTheme="majorHAnsi" w:hAnsiTheme="majorHAnsi"/>
          <w:sz w:val="22"/>
          <w:szCs w:val="22"/>
        </w:rPr>
        <w:t xml:space="preserve">7,757 in 2013 to </w:t>
      </w:r>
      <w:r w:rsidR="00CC57B6">
        <w:rPr>
          <w:rFonts w:asciiTheme="majorHAnsi" w:hAnsiTheme="majorHAnsi"/>
          <w:sz w:val="22"/>
          <w:szCs w:val="22"/>
        </w:rPr>
        <w:t xml:space="preserve">10,738 in 2014, while total rural branches grew from 268,454 to 383,804 </w:t>
      </w:r>
      <w:r w:rsidR="00404E5A">
        <w:rPr>
          <w:rFonts w:asciiTheme="majorHAnsi" w:hAnsiTheme="majorHAnsi"/>
          <w:sz w:val="22"/>
          <w:szCs w:val="22"/>
        </w:rPr>
        <w:t>over the same period</w:t>
      </w:r>
      <w:r w:rsidR="00CC57B6">
        <w:rPr>
          <w:rFonts w:asciiTheme="majorHAnsi" w:hAnsiTheme="majorHAnsi"/>
          <w:sz w:val="22"/>
          <w:szCs w:val="22"/>
        </w:rPr>
        <w:t>.</w:t>
      </w:r>
    </w:p>
    <w:p w14:paraId="7005D6D3" w14:textId="17778266" w:rsidR="002A11EB" w:rsidRDefault="00CD39F9" w:rsidP="001B7143">
      <w:pPr>
        <w:pStyle w:val="ListParagraph"/>
        <w:numPr>
          <w:ilvl w:val="0"/>
          <w:numId w:val="6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522CE5">
        <w:rPr>
          <w:rFonts w:asciiTheme="majorHAnsi" w:hAnsiTheme="majorHAnsi"/>
          <w:b/>
          <w:sz w:val="22"/>
          <w:szCs w:val="22"/>
        </w:rPr>
        <w:t>Rise in monetary aggregates:</w:t>
      </w:r>
      <w:r w:rsidRPr="001B7143">
        <w:rPr>
          <w:rFonts w:asciiTheme="majorHAnsi" w:hAnsiTheme="majorHAnsi"/>
          <w:sz w:val="22"/>
          <w:szCs w:val="22"/>
        </w:rPr>
        <w:t xml:space="preserve"> </w:t>
      </w:r>
      <w:r w:rsidR="00370C32" w:rsidRPr="001B7143">
        <w:rPr>
          <w:rFonts w:asciiTheme="majorHAnsi" w:hAnsiTheme="majorHAnsi"/>
          <w:sz w:val="22"/>
          <w:szCs w:val="22"/>
        </w:rPr>
        <w:t xml:space="preserve">The impact of the deregulation following reforms introduced by the NEP and subsequent economic policies can be seen clearly in the overall rise across monetary aggregates in the banking sector. </w:t>
      </w:r>
      <w:r w:rsidR="00494E98" w:rsidRPr="001B7143">
        <w:rPr>
          <w:rFonts w:asciiTheme="majorHAnsi" w:hAnsiTheme="majorHAnsi"/>
          <w:sz w:val="22"/>
          <w:szCs w:val="22"/>
        </w:rPr>
        <w:t xml:space="preserve">Total deposits in the system have grown from INR 1,925 billion in 1990-91 to INR </w:t>
      </w:r>
      <w:r w:rsidR="00315604" w:rsidRPr="001B7143">
        <w:rPr>
          <w:rFonts w:asciiTheme="majorHAnsi" w:hAnsiTheme="majorHAnsi"/>
          <w:sz w:val="22"/>
          <w:szCs w:val="22"/>
        </w:rPr>
        <w:t xml:space="preserve">85,333 billion in 2014-15 at a CAGR of over 16%, while total bank credit has grown from INR 1,163 billion to INR 65,364 billion during the same period at a CAGR of </w:t>
      </w:r>
      <w:r w:rsidR="006C6BD7" w:rsidRPr="001B7143">
        <w:rPr>
          <w:rFonts w:asciiTheme="majorHAnsi" w:hAnsiTheme="majorHAnsi"/>
          <w:sz w:val="22"/>
          <w:szCs w:val="22"/>
        </w:rPr>
        <w:t>over 17%</w:t>
      </w:r>
      <w:r w:rsidR="00783BAD">
        <w:rPr>
          <w:rFonts w:asciiTheme="majorHAnsi" w:hAnsiTheme="majorHAnsi"/>
          <w:color w:val="FF0000"/>
          <w:sz w:val="22"/>
          <w:szCs w:val="22"/>
        </w:rPr>
        <w:t xml:space="preserve"> </w:t>
      </w:r>
      <w:r w:rsidR="00783BAD" w:rsidRPr="00783BAD">
        <w:rPr>
          <w:rFonts w:asciiTheme="majorHAnsi" w:hAnsiTheme="majorHAnsi"/>
          <w:i/>
          <w:sz w:val="22"/>
          <w:szCs w:val="22"/>
        </w:rPr>
        <w:t>(Appendices: Table 3</w:t>
      </w:r>
      <w:r w:rsidR="001B7143" w:rsidRPr="00783BAD">
        <w:rPr>
          <w:rFonts w:asciiTheme="majorHAnsi" w:hAnsiTheme="majorHAnsi"/>
          <w:i/>
          <w:sz w:val="22"/>
          <w:szCs w:val="22"/>
        </w:rPr>
        <w:t>)</w:t>
      </w:r>
      <w:r w:rsidR="00783BAD" w:rsidRPr="00783BAD">
        <w:rPr>
          <w:rFonts w:asciiTheme="majorHAnsi" w:hAnsiTheme="majorHAnsi"/>
          <w:sz w:val="22"/>
          <w:szCs w:val="22"/>
        </w:rPr>
        <w:t>.</w:t>
      </w:r>
      <w:r w:rsidR="001B7143" w:rsidRPr="001B7143">
        <w:rPr>
          <w:rFonts w:asciiTheme="majorHAnsi" w:hAnsiTheme="majorHAnsi"/>
          <w:sz w:val="22"/>
          <w:szCs w:val="22"/>
        </w:rPr>
        <w:t xml:space="preserve"> </w:t>
      </w:r>
    </w:p>
    <w:p w14:paraId="12A6EF36" w14:textId="77777777" w:rsidR="00E0374F" w:rsidRDefault="00E0374F" w:rsidP="00E0374F">
      <w:pPr>
        <w:pStyle w:val="ListParagraph"/>
        <w:spacing w:after="200" w:line="276" w:lineRule="auto"/>
        <w:ind w:left="360"/>
        <w:rPr>
          <w:rFonts w:asciiTheme="majorHAnsi" w:hAnsiTheme="majorHAnsi"/>
          <w:sz w:val="22"/>
          <w:szCs w:val="22"/>
        </w:rPr>
      </w:pPr>
    </w:p>
    <w:p w14:paraId="2D8F8B56" w14:textId="12CB2E67" w:rsidR="00485593" w:rsidRPr="001B7143" w:rsidRDefault="00E0374F" w:rsidP="00485593">
      <w:pPr>
        <w:pStyle w:val="ListParagraph"/>
        <w:spacing w:after="200" w:line="276" w:lineRule="auto"/>
        <w:ind w:left="360"/>
        <w:rPr>
          <w:rFonts w:asciiTheme="majorHAnsi" w:hAnsiTheme="majorHAnsi"/>
          <w:sz w:val="22"/>
          <w:szCs w:val="22"/>
        </w:rPr>
      </w:pPr>
      <w:r w:rsidRPr="00E0374F">
        <w:rPr>
          <w:noProof/>
        </w:rPr>
        <w:drawing>
          <wp:inline distT="0" distB="0" distL="0" distR="0" wp14:anchorId="4350CAE7" wp14:editId="34D6DAF5">
            <wp:extent cx="3767373" cy="2654794"/>
            <wp:effectExtent l="0" t="0" r="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73" cy="26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54AE3" w14:textId="77777777" w:rsidR="00E0374F" w:rsidRDefault="00E0374F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41B5322F" w14:textId="2EE1F408" w:rsidR="001B7143" w:rsidRPr="00B957D9" w:rsidRDefault="00C33904" w:rsidP="001B7143">
      <w:pPr>
        <w:pStyle w:val="ListParagraph"/>
        <w:numPr>
          <w:ilvl w:val="0"/>
          <w:numId w:val="6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522CE5">
        <w:rPr>
          <w:rFonts w:asciiTheme="majorHAnsi" w:hAnsiTheme="majorHAnsi"/>
          <w:b/>
          <w:sz w:val="22"/>
          <w:szCs w:val="22"/>
        </w:rPr>
        <w:lastRenderedPageBreak/>
        <w:t>Comparative indicators with other major banking economies:</w:t>
      </w:r>
      <w:r>
        <w:rPr>
          <w:rFonts w:asciiTheme="majorHAnsi" w:hAnsiTheme="majorHAnsi"/>
          <w:sz w:val="22"/>
          <w:szCs w:val="22"/>
        </w:rPr>
        <w:t xml:space="preserve"> </w:t>
      </w:r>
      <w:r w:rsidR="001B3429">
        <w:rPr>
          <w:rFonts w:asciiTheme="majorHAnsi" w:hAnsiTheme="majorHAnsi"/>
          <w:sz w:val="22"/>
          <w:szCs w:val="22"/>
        </w:rPr>
        <w:t>Despite</w:t>
      </w:r>
      <w:r w:rsidR="00A57719">
        <w:rPr>
          <w:rFonts w:asciiTheme="majorHAnsi" w:hAnsiTheme="majorHAnsi"/>
          <w:sz w:val="22"/>
          <w:szCs w:val="22"/>
        </w:rPr>
        <w:t xml:space="preserve"> the developments </w:t>
      </w:r>
      <w:r w:rsidR="001B3429">
        <w:rPr>
          <w:rFonts w:asciiTheme="majorHAnsi" w:hAnsiTheme="majorHAnsi"/>
          <w:sz w:val="22"/>
          <w:szCs w:val="22"/>
        </w:rPr>
        <w:t xml:space="preserve">of the past two and a half decades, </w:t>
      </w:r>
      <w:r w:rsidR="00032AB1">
        <w:rPr>
          <w:rFonts w:asciiTheme="majorHAnsi" w:hAnsiTheme="majorHAnsi"/>
          <w:sz w:val="22"/>
          <w:szCs w:val="22"/>
        </w:rPr>
        <w:t>the Indian banking sector</w:t>
      </w:r>
      <w:r w:rsidR="00BF105C">
        <w:rPr>
          <w:rFonts w:asciiTheme="majorHAnsi" w:hAnsiTheme="majorHAnsi"/>
          <w:sz w:val="22"/>
          <w:szCs w:val="22"/>
        </w:rPr>
        <w:t xml:space="preserve"> </w:t>
      </w:r>
      <w:r w:rsidR="00EA620D">
        <w:rPr>
          <w:rFonts w:asciiTheme="majorHAnsi" w:hAnsiTheme="majorHAnsi"/>
          <w:sz w:val="22"/>
          <w:szCs w:val="22"/>
        </w:rPr>
        <w:t>still lags other major economies.</w:t>
      </w:r>
      <w:r w:rsidR="00032AB1">
        <w:rPr>
          <w:rFonts w:asciiTheme="majorHAnsi" w:hAnsiTheme="majorHAnsi"/>
          <w:sz w:val="22"/>
          <w:szCs w:val="22"/>
        </w:rPr>
        <w:t xml:space="preserve"> </w:t>
      </w:r>
      <w:r w:rsidR="00D74768">
        <w:rPr>
          <w:rFonts w:asciiTheme="majorHAnsi" w:hAnsiTheme="majorHAnsi"/>
          <w:sz w:val="22"/>
          <w:szCs w:val="22"/>
        </w:rPr>
        <w:t xml:space="preserve">The loan-to-deposits ratio </w:t>
      </w:r>
      <w:r w:rsidR="000B1EDF">
        <w:rPr>
          <w:rFonts w:asciiTheme="majorHAnsi" w:hAnsiTheme="majorHAnsi"/>
          <w:sz w:val="22"/>
          <w:szCs w:val="22"/>
        </w:rPr>
        <w:t>currently stands a</w:t>
      </w:r>
      <w:r w:rsidR="00F82EF0">
        <w:rPr>
          <w:rFonts w:asciiTheme="majorHAnsi" w:hAnsiTheme="majorHAnsi"/>
          <w:sz w:val="22"/>
          <w:szCs w:val="22"/>
        </w:rPr>
        <w:t>t 77%, compared to 84% in China</w:t>
      </w:r>
      <w:r w:rsidR="000B1EDF">
        <w:rPr>
          <w:rFonts w:asciiTheme="majorHAnsi" w:hAnsiTheme="majorHAnsi"/>
          <w:sz w:val="22"/>
          <w:szCs w:val="22"/>
        </w:rPr>
        <w:t xml:space="preserve"> and over 100% in both </w:t>
      </w:r>
      <w:r w:rsidR="00B00CDB">
        <w:rPr>
          <w:rFonts w:asciiTheme="majorHAnsi" w:hAnsiTheme="majorHAnsi"/>
          <w:sz w:val="22"/>
          <w:szCs w:val="22"/>
        </w:rPr>
        <w:t xml:space="preserve">the United States in Singapore, while the loan-to-GDP ratio stands at </w:t>
      </w:r>
      <w:r w:rsidR="00F82EF0">
        <w:rPr>
          <w:rFonts w:asciiTheme="majorHAnsi" w:hAnsiTheme="majorHAnsi"/>
          <w:sz w:val="22"/>
          <w:szCs w:val="22"/>
        </w:rPr>
        <w:t xml:space="preserve">61%, compared to </w:t>
      </w:r>
      <w:r w:rsidR="00623892">
        <w:rPr>
          <w:rFonts w:asciiTheme="majorHAnsi" w:hAnsiTheme="majorHAnsi"/>
          <w:sz w:val="22"/>
          <w:szCs w:val="22"/>
        </w:rPr>
        <w:t xml:space="preserve">64% in the United States and almost 150% in China and Singapore. </w:t>
      </w:r>
      <w:r w:rsidR="00437DE5">
        <w:rPr>
          <w:rFonts w:asciiTheme="majorHAnsi" w:hAnsiTheme="majorHAnsi"/>
          <w:sz w:val="22"/>
          <w:szCs w:val="22"/>
        </w:rPr>
        <w:t xml:space="preserve">The total assets in the banking system are comparatively lower at USD 1,877 </w:t>
      </w:r>
      <w:r w:rsidR="003E0EBD">
        <w:rPr>
          <w:rFonts w:asciiTheme="majorHAnsi" w:hAnsiTheme="majorHAnsi"/>
          <w:sz w:val="22"/>
          <w:szCs w:val="22"/>
        </w:rPr>
        <w:t xml:space="preserve">billion, compared to USD 16,025 billion in the United States and USD 31,390 </w:t>
      </w:r>
      <w:r w:rsidR="00BE4783">
        <w:rPr>
          <w:rFonts w:asciiTheme="majorHAnsi" w:hAnsiTheme="majorHAnsi"/>
          <w:sz w:val="22"/>
          <w:szCs w:val="22"/>
        </w:rPr>
        <w:t xml:space="preserve">billion in China. </w:t>
      </w:r>
      <w:r w:rsidR="00900DE3">
        <w:rPr>
          <w:rFonts w:asciiTheme="majorHAnsi" w:hAnsiTheme="majorHAnsi"/>
          <w:sz w:val="22"/>
          <w:szCs w:val="22"/>
        </w:rPr>
        <w:t xml:space="preserve">This translates to </w:t>
      </w:r>
      <w:r w:rsidR="00431F7C">
        <w:rPr>
          <w:rFonts w:asciiTheme="majorHAnsi" w:hAnsiTheme="majorHAnsi"/>
          <w:sz w:val="22"/>
          <w:szCs w:val="22"/>
        </w:rPr>
        <w:t>USD 1,288 per capita in India, USD 34,367 in the United</w:t>
      </w:r>
      <w:r w:rsidR="00B957D9">
        <w:rPr>
          <w:rFonts w:asciiTheme="majorHAnsi" w:hAnsiTheme="majorHAnsi"/>
          <w:sz w:val="22"/>
          <w:szCs w:val="22"/>
        </w:rPr>
        <w:t xml:space="preserve"> States and USD 13,312 in China</w:t>
      </w:r>
      <w:r w:rsidR="00431F7C">
        <w:rPr>
          <w:rFonts w:asciiTheme="majorHAnsi" w:hAnsiTheme="majorHAnsi"/>
          <w:sz w:val="22"/>
          <w:szCs w:val="22"/>
        </w:rPr>
        <w:t xml:space="preserve"> </w:t>
      </w:r>
      <w:r w:rsidR="00B957D9" w:rsidRPr="00B957D9">
        <w:rPr>
          <w:rFonts w:asciiTheme="majorHAnsi" w:hAnsiTheme="majorHAnsi"/>
          <w:i/>
          <w:sz w:val="22"/>
          <w:szCs w:val="22"/>
        </w:rPr>
        <w:t>(Appendices: Table 4</w:t>
      </w:r>
      <w:r w:rsidR="00431F7C" w:rsidRPr="00B957D9">
        <w:rPr>
          <w:rFonts w:asciiTheme="majorHAnsi" w:hAnsiTheme="majorHAnsi"/>
          <w:i/>
          <w:sz w:val="22"/>
          <w:szCs w:val="22"/>
        </w:rPr>
        <w:t>)</w:t>
      </w:r>
      <w:r w:rsidR="00B957D9">
        <w:rPr>
          <w:rFonts w:asciiTheme="majorHAnsi" w:hAnsiTheme="majorHAnsi"/>
          <w:sz w:val="22"/>
          <w:szCs w:val="22"/>
        </w:rPr>
        <w:t>.</w:t>
      </w:r>
      <w:r w:rsidR="00431F7C" w:rsidRPr="00B957D9">
        <w:rPr>
          <w:rFonts w:asciiTheme="majorHAnsi" w:hAnsiTheme="majorHAnsi"/>
          <w:sz w:val="22"/>
          <w:szCs w:val="22"/>
        </w:rPr>
        <w:t xml:space="preserve"> </w:t>
      </w:r>
    </w:p>
    <w:p w14:paraId="2AA9B805" w14:textId="77777777" w:rsidR="00D82B31" w:rsidRDefault="00D82B31" w:rsidP="00D82B31">
      <w:pPr>
        <w:pStyle w:val="ListParagraph"/>
        <w:spacing w:after="200" w:line="276" w:lineRule="auto"/>
        <w:ind w:left="360"/>
        <w:rPr>
          <w:rFonts w:asciiTheme="majorHAnsi" w:hAnsiTheme="majorHAnsi"/>
          <w:sz w:val="22"/>
          <w:szCs w:val="22"/>
        </w:rPr>
      </w:pPr>
    </w:p>
    <w:p w14:paraId="4C055375" w14:textId="534B12AD" w:rsidR="00D82B31" w:rsidRDefault="00624B81" w:rsidP="00D82B31">
      <w:pPr>
        <w:pStyle w:val="ListParagraph"/>
        <w:spacing w:after="200" w:line="276" w:lineRule="auto"/>
        <w:ind w:left="360"/>
        <w:rPr>
          <w:rFonts w:asciiTheme="majorHAnsi" w:hAnsiTheme="majorHAnsi"/>
          <w:sz w:val="22"/>
          <w:szCs w:val="22"/>
        </w:rPr>
      </w:pPr>
      <w:r w:rsidRPr="00624B81">
        <w:rPr>
          <w:noProof/>
        </w:rPr>
        <w:drawing>
          <wp:inline distT="0" distB="0" distL="0" distR="0" wp14:anchorId="3765CAA2" wp14:editId="40C9C8EA">
            <wp:extent cx="3213510" cy="2264498"/>
            <wp:effectExtent l="0" t="0" r="1270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58" cy="226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C276" w14:textId="77777777" w:rsidR="00624B81" w:rsidRDefault="00624B81" w:rsidP="00624B81">
      <w:pPr>
        <w:pStyle w:val="ListParagraph"/>
        <w:spacing w:after="200" w:line="276" w:lineRule="auto"/>
        <w:ind w:left="360"/>
        <w:rPr>
          <w:rFonts w:asciiTheme="majorHAnsi" w:hAnsiTheme="majorHAnsi"/>
          <w:sz w:val="22"/>
          <w:szCs w:val="22"/>
        </w:rPr>
      </w:pPr>
    </w:p>
    <w:p w14:paraId="47522AB8" w14:textId="60060BC9" w:rsidR="00624B81" w:rsidRDefault="00A95435" w:rsidP="00624B81">
      <w:pPr>
        <w:pStyle w:val="ListParagraph"/>
        <w:spacing w:after="200" w:line="276" w:lineRule="auto"/>
        <w:ind w:left="360"/>
        <w:rPr>
          <w:rFonts w:asciiTheme="majorHAnsi" w:hAnsiTheme="majorHAnsi"/>
          <w:sz w:val="22"/>
          <w:szCs w:val="22"/>
        </w:rPr>
      </w:pPr>
      <w:r w:rsidRPr="00A95435">
        <w:rPr>
          <w:noProof/>
        </w:rPr>
        <w:drawing>
          <wp:inline distT="0" distB="0" distL="0" distR="0" wp14:anchorId="457B74B5" wp14:editId="5A00AED1">
            <wp:extent cx="3240000" cy="2268000"/>
            <wp:effectExtent l="0" t="0" r="11430" b="0"/>
            <wp:docPr id="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F7C96" w14:textId="77777777" w:rsidR="00A95435" w:rsidRDefault="00A95435" w:rsidP="00A95435">
      <w:pPr>
        <w:pStyle w:val="ListParagraph"/>
        <w:spacing w:after="200" w:line="276" w:lineRule="auto"/>
        <w:ind w:left="360"/>
        <w:rPr>
          <w:rFonts w:asciiTheme="majorHAnsi" w:hAnsiTheme="majorHAnsi"/>
          <w:sz w:val="22"/>
          <w:szCs w:val="22"/>
        </w:rPr>
      </w:pPr>
    </w:p>
    <w:p w14:paraId="4B374AF2" w14:textId="523E4921" w:rsidR="000D7B11" w:rsidRPr="002144C5" w:rsidRDefault="00690955" w:rsidP="002144C5">
      <w:pPr>
        <w:pStyle w:val="ListParagraph"/>
        <w:numPr>
          <w:ilvl w:val="0"/>
          <w:numId w:val="6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1279CB">
        <w:rPr>
          <w:rFonts w:asciiTheme="majorHAnsi" w:hAnsiTheme="majorHAnsi"/>
          <w:b/>
          <w:sz w:val="22"/>
          <w:szCs w:val="22"/>
        </w:rPr>
        <w:t>Performance of Public Banks:</w:t>
      </w:r>
      <w:r>
        <w:rPr>
          <w:rFonts w:asciiTheme="majorHAnsi" w:hAnsiTheme="majorHAnsi"/>
          <w:sz w:val="22"/>
          <w:szCs w:val="22"/>
        </w:rPr>
        <w:t xml:space="preserve"> </w:t>
      </w:r>
      <w:r w:rsidR="005C7D59">
        <w:rPr>
          <w:rFonts w:asciiTheme="majorHAnsi" w:hAnsiTheme="majorHAnsi"/>
          <w:sz w:val="22"/>
          <w:szCs w:val="22"/>
        </w:rPr>
        <w:t xml:space="preserve">While the number of </w:t>
      </w:r>
      <w:r w:rsidR="00D37BD1">
        <w:rPr>
          <w:rFonts w:asciiTheme="majorHAnsi" w:hAnsiTheme="majorHAnsi"/>
          <w:sz w:val="22"/>
          <w:szCs w:val="22"/>
        </w:rPr>
        <w:t xml:space="preserve">banks in the public sector remained constant at 20 </w:t>
      </w:r>
      <w:r w:rsidR="00B63B44">
        <w:rPr>
          <w:rFonts w:asciiTheme="majorHAnsi" w:hAnsiTheme="majorHAnsi"/>
          <w:sz w:val="22"/>
          <w:szCs w:val="22"/>
        </w:rPr>
        <w:t>from 2008-09 to 2012-13</w:t>
      </w:r>
      <w:r w:rsidR="001B03C1">
        <w:rPr>
          <w:rFonts w:asciiTheme="majorHAnsi" w:hAnsiTheme="majorHAnsi"/>
          <w:sz w:val="22"/>
          <w:szCs w:val="22"/>
        </w:rPr>
        <w:t xml:space="preserve">, the business per employee </w:t>
      </w:r>
      <w:r w:rsidR="00D37BD1">
        <w:rPr>
          <w:rFonts w:asciiTheme="majorHAnsi" w:hAnsiTheme="majorHAnsi"/>
          <w:sz w:val="22"/>
          <w:szCs w:val="22"/>
        </w:rPr>
        <w:t xml:space="preserve">increased from INR 78 to INR 142 </w:t>
      </w:r>
      <w:r w:rsidR="00021798">
        <w:rPr>
          <w:rFonts w:asciiTheme="majorHAnsi" w:hAnsiTheme="majorHAnsi"/>
          <w:sz w:val="22"/>
          <w:szCs w:val="22"/>
        </w:rPr>
        <w:t>(</w:t>
      </w:r>
      <w:r w:rsidR="00B63B44">
        <w:rPr>
          <w:rFonts w:asciiTheme="majorHAnsi" w:hAnsiTheme="majorHAnsi"/>
          <w:sz w:val="22"/>
          <w:szCs w:val="22"/>
        </w:rPr>
        <w:t xml:space="preserve">average of </w:t>
      </w:r>
      <w:r w:rsidR="00021798">
        <w:rPr>
          <w:rFonts w:asciiTheme="majorHAnsi" w:hAnsiTheme="majorHAnsi"/>
          <w:sz w:val="22"/>
          <w:szCs w:val="22"/>
        </w:rPr>
        <w:t xml:space="preserve">over 450,000 employees). </w:t>
      </w:r>
      <w:r w:rsidR="00E87B89">
        <w:rPr>
          <w:rFonts w:asciiTheme="majorHAnsi" w:hAnsiTheme="majorHAnsi"/>
          <w:sz w:val="22"/>
          <w:szCs w:val="22"/>
        </w:rPr>
        <w:t>However, the sector has been suffering from the prevalence of high interest rates</w:t>
      </w:r>
      <w:r w:rsidR="008924C0">
        <w:rPr>
          <w:rFonts w:asciiTheme="majorHAnsi" w:hAnsiTheme="majorHAnsi"/>
          <w:sz w:val="22"/>
          <w:szCs w:val="22"/>
        </w:rPr>
        <w:t xml:space="preserve">, </w:t>
      </w:r>
      <w:r w:rsidR="00E87B89">
        <w:rPr>
          <w:rFonts w:asciiTheme="majorHAnsi" w:hAnsiTheme="majorHAnsi"/>
          <w:sz w:val="22"/>
          <w:szCs w:val="22"/>
        </w:rPr>
        <w:t>policy paralysis / inflationary pressures</w:t>
      </w:r>
      <w:r w:rsidR="008924C0">
        <w:rPr>
          <w:rFonts w:asciiTheme="majorHAnsi" w:hAnsiTheme="majorHAnsi"/>
          <w:sz w:val="22"/>
          <w:szCs w:val="22"/>
        </w:rPr>
        <w:t xml:space="preserve"> and the requirements of Priority Sector Lending</w:t>
      </w:r>
      <w:r w:rsidR="00E87B89">
        <w:rPr>
          <w:rFonts w:asciiTheme="majorHAnsi" w:hAnsiTheme="majorHAnsi"/>
          <w:sz w:val="22"/>
          <w:szCs w:val="22"/>
        </w:rPr>
        <w:t xml:space="preserve">, with the Net Interest Margin </w:t>
      </w:r>
      <w:r w:rsidR="00794D29">
        <w:rPr>
          <w:rFonts w:asciiTheme="majorHAnsi" w:hAnsiTheme="majorHAnsi"/>
          <w:sz w:val="22"/>
          <w:szCs w:val="22"/>
        </w:rPr>
        <w:t xml:space="preserve">(NIM) </w:t>
      </w:r>
      <w:r w:rsidR="00E87B89">
        <w:rPr>
          <w:rFonts w:asciiTheme="majorHAnsi" w:hAnsiTheme="majorHAnsi"/>
          <w:sz w:val="22"/>
          <w:szCs w:val="22"/>
        </w:rPr>
        <w:t>largely constant at 2.3</w:t>
      </w:r>
      <w:r w:rsidR="00B67BB4">
        <w:rPr>
          <w:rFonts w:asciiTheme="majorHAnsi" w:hAnsiTheme="majorHAnsi"/>
          <w:sz w:val="22"/>
          <w:szCs w:val="22"/>
        </w:rPr>
        <w:t>%</w:t>
      </w:r>
      <w:r w:rsidR="00E87B89">
        <w:rPr>
          <w:rFonts w:asciiTheme="majorHAnsi" w:hAnsiTheme="majorHAnsi"/>
          <w:sz w:val="22"/>
          <w:szCs w:val="22"/>
        </w:rPr>
        <w:t xml:space="preserve"> from 2008-09 to 2012-13, </w:t>
      </w:r>
      <w:r w:rsidR="00B67BB4">
        <w:rPr>
          <w:rFonts w:asciiTheme="majorHAnsi" w:hAnsiTheme="majorHAnsi"/>
          <w:sz w:val="22"/>
          <w:szCs w:val="22"/>
        </w:rPr>
        <w:t xml:space="preserve">and the Return on Assets </w:t>
      </w:r>
      <w:r w:rsidR="0026325F">
        <w:rPr>
          <w:rFonts w:asciiTheme="majorHAnsi" w:hAnsiTheme="majorHAnsi"/>
          <w:sz w:val="22"/>
          <w:szCs w:val="22"/>
        </w:rPr>
        <w:t>(</w:t>
      </w:r>
      <w:proofErr w:type="spellStart"/>
      <w:r w:rsidR="0026325F">
        <w:rPr>
          <w:rFonts w:asciiTheme="majorHAnsi" w:hAnsiTheme="majorHAnsi"/>
          <w:sz w:val="22"/>
          <w:szCs w:val="22"/>
        </w:rPr>
        <w:t>RoA</w:t>
      </w:r>
      <w:proofErr w:type="spellEnd"/>
      <w:r w:rsidR="0026325F">
        <w:rPr>
          <w:rFonts w:asciiTheme="majorHAnsi" w:hAnsiTheme="majorHAnsi"/>
          <w:sz w:val="22"/>
          <w:szCs w:val="22"/>
        </w:rPr>
        <w:t xml:space="preserve">) </w:t>
      </w:r>
      <w:r w:rsidR="00B67BB4">
        <w:rPr>
          <w:rFonts w:asciiTheme="majorHAnsi" w:hAnsiTheme="majorHAnsi"/>
          <w:sz w:val="22"/>
          <w:szCs w:val="22"/>
        </w:rPr>
        <w:t xml:space="preserve">dropping from 1% to 0.74% over the same period. </w:t>
      </w:r>
      <w:r w:rsidR="00794D29">
        <w:rPr>
          <w:rFonts w:asciiTheme="majorHAnsi" w:hAnsiTheme="majorHAnsi"/>
          <w:sz w:val="22"/>
          <w:szCs w:val="22"/>
        </w:rPr>
        <w:t>The Cost o</w:t>
      </w:r>
      <w:r w:rsidR="00D207A2">
        <w:rPr>
          <w:rFonts w:asciiTheme="majorHAnsi" w:hAnsiTheme="majorHAnsi"/>
          <w:sz w:val="22"/>
          <w:szCs w:val="22"/>
        </w:rPr>
        <w:t xml:space="preserve">f Funds </w:t>
      </w:r>
      <w:r w:rsidR="00794D29">
        <w:rPr>
          <w:rFonts w:asciiTheme="majorHAnsi" w:hAnsiTheme="majorHAnsi"/>
          <w:sz w:val="22"/>
          <w:szCs w:val="22"/>
        </w:rPr>
        <w:t>(</w:t>
      </w:r>
      <w:proofErr w:type="spellStart"/>
      <w:r w:rsidR="00794D29">
        <w:rPr>
          <w:rFonts w:asciiTheme="majorHAnsi" w:hAnsiTheme="majorHAnsi"/>
          <w:sz w:val="22"/>
          <w:szCs w:val="22"/>
        </w:rPr>
        <w:t>CoF</w:t>
      </w:r>
      <w:proofErr w:type="spellEnd"/>
      <w:r w:rsidR="00794D29">
        <w:rPr>
          <w:rFonts w:asciiTheme="majorHAnsi" w:hAnsiTheme="majorHAnsi"/>
          <w:sz w:val="22"/>
          <w:szCs w:val="22"/>
        </w:rPr>
        <w:t xml:space="preserve">) </w:t>
      </w:r>
      <w:r w:rsidR="00D207A2">
        <w:rPr>
          <w:rFonts w:asciiTheme="majorHAnsi" w:hAnsiTheme="majorHAnsi"/>
          <w:sz w:val="22"/>
          <w:szCs w:val="22"/>
        </w:rPr>
        <w:t xml:space="preserve">for banks </w:t>
      </w:r>
      <w:r w:rsidR="001B03C1">
        <w:rPr>
          <w:rFonts w:asciiTheme="majorHAnsi" w:hAnsiTheme="majorHAnsi"/>
          <w:sz w:val="22"/>
          <w:szCs w:val="22"/>
        </w:rPr>
        <w:t>grew</w:t>
      </w:r>
      <w:r w:rsidR="008E6A96">
        <w:rPr>
          <w:rFonts w:asciiTheme="majorHAnsi" w:hAnsiTheme="majorHAnsi"/>
          <w:sz w:val="22"/>
          <w:szCs w:val="22"/>
        </w:rPr>
        <w:t xml:space="preserve"> significantly as banks face </w:t>
      </w:r>
      <w:r w:rsidR="00D207A2">
        <w:rPr>
          <w:rFonts w:asciiTheme="majorHAnsi" w:hAnsiTheme="majorHAnsi"/>
          <w:sz w:val="22"/>
          <w:szCs w:val="22"/>
        </w:rPr>
        <w:t>increasing</w:t>
      </w:r>
      <w:r w:rsidR="008E6A96">
        <w:rPr>
          <w:rFonts w:asciiTheme="majorHAnsi" w:hAnsiTheme="majorHAnsi"/>
          <w:sz w:val="22"/>
          <w:szCs w:val="22"/>
        </w:rPr>
        <w:t xml:space="preserve"> competition for new customers</w:t>
      </w:r>
      <w:r w:rsidR="00B93A42">
        <w:rPr>
          <w:rFonts w:asciiTheme="majorHAnsi" w:hAnsiTheme="majorHAnsi"/>
          <w:sz w:val="22"/>
          <w:szCs w:val="22"/>
        </w:rPr>
        <w:t xml:space="preserve">, from a low of </w:t>
      </w:r>
      <w:r w:rsidR="00B93A42">
        <w:rPr>
          <w:rFonts w:asciiTheme="majorHAnsi" w:hAnsiTheme="majorHAnsi"/>
          <w:sz w:val="22"/>
          <w:szCs w:val="22"/>
        </w:rPr>
        <w:lastRenderedPageBreak/>
        <w:t xml:space="preserve">4.93% in 2010-11 to 6.39% in 2012-13. </w:t>
      </w:r>
      <w:r w:rsidR="00B67BB4">
        <w:rPr>
          <w:rFonts w:asciiTheme="majorHAnsi" w:hAnsiTheme="majorHAnsi"/>
          <w:sz w:val="22"/>
          <w:szCs w:val="22"/>
        </w:rPr>
        <w:t>Net NPAs ballooned over th</w:t>
      </w:r>
      <w:r w:rsidR="00545F67">
        <w:rPr>
          <w:rFonts w:asciiTheme="majorHAnsi" w:hAnsiTheme="majorHAnsi"/>
          <w:sz w:val="22"/>
          <w:szCs w:val="22"/>
        </w:rPr>
        <w:t>is time</w:t>
      </w:r>
      <w:r w:rsidR="009531FA">
        <w:rPr>
          <w:rFonts w:asciiTheme="majorHAnsi" w:hAnsiTheme="majorHAnsi"/>
          <w:sz w:val="22"/>
          <w:szCs w:val="22"/>
        </w:rPr>
        <w:t>, from 0.68% to 2%.</w:t>
      </w:r>
      <w:r w:rsidR="00B745F0">
        <w:rPr>
          <w:rFonts w:asciiTheme="majorHAnsi" w:hAnsiTheme="majorHAnsi"/>
          <w:sz w:val="22"/>
          <w:szCs w:val="22"/>
        </w:rPr>
        <w:t xml:space="preserve"> </w:t>
      </w:r>
      <w:r w:rsidR="00B745F0" w:rsidRPr="007A49F8">
        <w:rPr>
          <w:rFonts w:asciiTheme="majorHAnsi" w:hAnsiTheme="majorHAnsi"/>
          <w:i/>
          <w:sz w:val="22"/>
          <w:szCs w:val="22"/>
        </w:rPr>
        <w:t>(</w:t>
      </w:r>
      <w:r w:rsidR="00163606" w:rsidRPr="007A49F8">
        <w:rPr>
          <w:rFonts w:asciiTheme="majorHAnsi" w:hAnsiTheme="majorHAnsi"/>
          <w:i/>
          <w:sz w:val="22"/>
          <w:szCs w:val="22"/>
        </w:rPr>
        <w:t>Refer to charts below</w:t>
      </w:r>
      <w:r w:rsidR="00B745F0" w:rsidRPr="007A49F8">
        <w:rPr>
          <w:rFonts w:asciiTheme="majorHAnsi" w:hAnsiTheme="majorHAnsi"/>
          <w:i/>
          <w:sz w:val="22"/>
          <w:szCs w:val="22"/>
        </w:rPr>
        <w:t xml:space="preserve">) (Appendices: Table </w:t>
      </w:r>
      <w:r w:rsidR="007A49F8" w:rsidRPr="007A49F8">
        <w:rPr>
          <w:rFonts w:asciiTheme="majorHAnsi" w:hAnsiTheme="majorHAnsi"/>
          <w:i/>
          <w:sz w:val="22"/>
          <w:szCs w:val="22"/>
        </w:rPr>
        <w:t>5</w:t>
      </w:r>
      <w:r w:rsidR="00B745F0" w:rsidRPr="007A49F8">
        <w:rPr>
          <w:rFonts w:asciiTheme="majorHAnsi" w:hAnsiTheme="majorHAnsi"/>
          <w:i/>
          <w:sz w:val="22"/>
          <w:szCs w:val="22"/>
        </w:rPr>
        <w:t>)</w:t>
      </w:r>
      <w:r w:rsidR="00B745F0">
        <w:rPr>
          <w:rFonts w:asciiTheme="majorHAnsi" w:hAnsiTheme="majorHAnsi"/>
          <w:sz w:val="22"/>
          <w:szCs w:val="22"/>
        </w:rPr>
        <w:t xml:space="preserve"> </w:t>
      </w:r>
    </w:p>
    <w:p w14:paraId="362EEC39" w14:textId="328D6FCB" w:rsidR="002144C5" w:rsidRPr="002144C5" w:rsidRDefault="00C6227B" w:rsidP="002144C5">
      <w:pPr>
        <w:pStyle w:val="ListParagraph"/>
        <w:numPr>
          <w:ilvl w:val="0"/>
          <w:numId w:val="6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1279CB">
        <w:rPr>
          <w:rFonts w:asciiTheme="majorHAnsi" w:hAnsiTheme="majorHAnsi"/>
          <w:b/>
          <w:sz w:val="22"/>
          <w:szCs w:val="22"/>
        </w:rPr>
        <w:t xml:space="preserve">Performance of </w:t>
      </w:r>
      <w:r w:rsidR="00237217" w:rsidRPr="001279CB">
        <w:rPr>
          <w:rFonts w:asciiTheme="majorHAnsi" w:hAnsiTheme="majorHAnsi"/>
          <w:b/>
          <w:sz w:val="22"/>
          <w:szCs w:val="22"/>
        </w:rPr>
        <w:t>Private Banks:</w:t>
      </w:r>
      <w:r w:rsidR="00237217">
        <w:rPr>
          <w:rFonts w:asciiTheme="majorHAnsi" w:hAnsiTheme="majorHAnsi"/>
          <w:sz w:val="22"/>
          <w:szCs w:val="22"/>
        </w:rPr>
        <w:t xml:space="preserve"> </w:t>
      </w:r>
      <w:r w:rsidR="008924C0">
        <w:rPr>
          <w:rFonts w:asciiTheme="majorHAnsi" w:hAnsiTheme="majorHAnsi"/>
          <w:sz w:val="22"/>
          <w:szCs w:val="22"/>
        </w:rPr>
        <w:t xml:space="preserve">The private sector shrunk marginally from 22 banks in 2008-09 to 20 in 2012-13, while the business per employee </w:t>
      </w:r>
      <w:r w:rsidR="001B03C1">
        <w:rPr>
          <w:rFonts w:asciiTheme="majorHAnsi" w:hAnsiTheme="majorHAnsi"/>
          <w:sz w:val="22"/>
          <w:szCs w:val="22"/>
        </w:rPr>
        <w:t>grew</w:t>
      </w:r>
      <w:r w:rsidR="008924C0">
        <w:rPr>
          <w:rFonts w:asciiTheme="majorHAnsi" w:hAnsiTheme="majorHAnsi"/>
          <w:sz w:val="22"/>
          <w:szCs w:val="22"/>
        </w:rPr>
        <w:t xml:space="preserve"> from </w:t>
      </w:r>
      <w:r w:rsidR="00A15160">
        <w:rPr>
          <w:rFonts w:asciiTheme="majorHAnsi" w:hAnsiTheme="majorHAnsi"/>
          <w:sz w:val="22"/>
          <w:szCs w:val="22"/>
        </w:rPr>
        <w:t xml:space="preserve">INR 68 (around 200,000 employees) to INR 94 (over 250,000 employees) in the same period. </w:t>
      </w:r>
      <w:r w:rsidR="003C3B54">
        <w:rPr>
          <w:rFonts w:asciiTheme="majorHAnsi" w:hAnsiTheme="majorHAnsi"/>
          <w:sz w:val="22"/>
          <w:szCs w:val="22"/>
        </w:rPr>
        <w:t xml:space="preserve">Private </w:t>
      </w:r>
      <w:proofErr w:type="gramStart"/>
      <w:r w:rsidR="003C3B54">
        <w:rPr>
          <w:rFonts w:asciiTheme="majorHAnsi" w:hAnsiTheme="majorHAnsi"/>
          <w:sz w:val="22"/>
          <w:szCs w:val="22"/>
        </w:rPr>
        <w:t>banks</w:t>
      </w:r>
      <w:proofErr w:type="gramEnd"/>
      <w:r w:rsidR="003C3B54">
        <w:rPr>
          <w:rFonts w:asciiTheme="majorHAnsi" w:hAnsiTheme="majorHAnsi"/>
          <w:sz w:val="22"/>
          <w:szCs w:val="22"/>
        </w:rPr>
        <w:t xml:space="preserve"> </w:t>
      </w:r>
      <w:r w:rsidR="001B03C1">
        <w:rPr>
          <w:rFonts w:asciiTheme="majorHAnsi" w:hAnsiTheme="majorHAnsi"/>
          <w:sz w:val="22"/>
          <w:szCs w:val="22"/>
        </w:rPr>
        <w:t>displayed</w:t>
      </w:r>
      <w:r w:rsidR="003C3B54">
        <w:rPr>
          <w:rFonts w:asciiTheme="majorHAnsi" w:hAnsiTheme="majorHAnsi"/>
          <w:sz w:val="22"/>
          <w:szCs w:val="22"/>
        </w:rPr>
        <w:t xml:space="preserve"> </w:t>
      </w:r>
      <w:r w:rsidR="003D7009">
        <w:rPr>
          <w:rFonts w:asciiTheme="majorHAnsi" w:hAnsiTheme="majorHAnsi"/>
          <w:sz w:val="22"/>
          <w:szCs w:val="22"/>
        </w:rPr>
        <w:t xml:space="preserve">improvement across all metrics, in spite of an increasing </w:t>
      </w:r>
      <w:proofErr w:type="spellStart"/>
      <w:r w:rsidR="00794D29">
        <w:rPr>
          <w:rFonts w:asciiTheme="majorHAnsi" w:hAnsiTheme="majorHAnsi"/>
          <w:sz w:val="22"/>
          <w:szCs w:val="22"/>
        </w:rPr>
        <w:t>CoF</w:t>
      </w:r>
      <w:proofErr w:type="spellEnd"/>
      <w:r w:rsidR="003D7009">
        <w:rPr>
          <w:rFonts w:asciiTheme="majorHAnsi" w:hAnsiTheme="majorHAnsi"/>
          <w:sz w:val="22"/>
          <w:szCs w:val="22"/>
        </w:rPr>
        <w:t>, with the NIM</w:t>
      </w:r>
      <w:r w:rsidR="00794D29">
        <w:rPr>
          <w:rFonts w:asciiTheme="majorHAnsi" w:hAnsiTheme="majorHAnsi"/>
          <w:sz w:val="22"/>
          <w:szCs w:val="22"/>
        </w:rPr>
        <w:t xml:space="preserve"> growing from 2.86% in </w:t>
      </w:r>
      <w:r w:rsidR="002B155C">
        <w:rPr>
          <w:rFonts w:asciiTheme="majorHAnsi" w:hAnsiTheme="majorHAnsi"/>
          <w:sz w:val="22"/>
          <w:szCs w:val="22"/>
        </w:rPr>
        <w:t xml:space="preserve">2008-09 to 3.22% in </w:t>
      </w:r>
      <w:r w:rsidR="0026325F">
        <w:rPr>
          <w:rFonts w:asciiTheme="majorHAnsi" w:hAnsiTheme="majorHAnsi"/>
          <w:sz w:val="22"/>
          <w:szCs w:val="22"/>
        </w:rPr>
        <w:t xml:space="preserve">2012-13, </w:t>
      </w:r>
      <w:proofErr w:type="spellStart"/>
      <w:r w:rsidR="0026325F">
        <w:rPr>
          <w:rFonts w:asciiTheme="majorHAnsi" w:hAnsiTheme="majorHAnsi"/>
          <w:sz w:val="22"/>
          <w:szCs w:val="22"/>
        </w:rPr>
        <w:t>RoA</w:t>
      </w:r>
      <w:proofErr w:type="spellEnd"/>
      <w:r w:rsidR="0026325F">
        <w:rPr>
          <w:rFonts w:asciiTheme="majorHAnsi" w:hAnsiTheme="majorHAnsi"/>
          <w:sz w:val="22"/>
          <w:szCs w:val="22"/>
        </w:rPr>
        <w:t xml:space="preserve"> growing from 1.13% to 1.63%, and Net NPAs </w:t>
      </w:r>
      <w:r w:rsidR="00764FD4">
        <w:rPr>
          <w:rFonts w:asciiTheme="majorHAnsi" w:hAnsiTheme="majorHAnsi"/>
          <w:sz w:val="22"/>
          <w:szCs w:val="22"/>
        </w:rPr>
        <w:t>dropping from 1.29 % to 0.52% over the same period.</w:t>
      </w:r>
      <w:r w:rsidR="00465E1E">
        <w:rPr>
          <w:rFonts w:asciiTheme="majorHAnsi" w:hAnsiTheme="majorHAnsi"/>
          <w:sz w:val="22"/>
          <w:szCs w:val="22"/>
        </w:rPr>
        <w:t xml:space="preserve"> </w:t>
      </w:r>
      <w:r w:rsidR="007A49F8" w:rsidRPr="007A49F8">
        <w:rPr>
          <w:rFonts w:asciiTheme="majorHAnsi" w:hAnsiTheme="majorHAnsi"/>
          <w:i/>
          <w:sz w:val="22"/>
          <w:szCs w:val="22"/>
        </w:rPr>
        <w:t xml:space="preserve">(Refer to charts below) (Appendices: Table </w:t>
      </w:r>
      <w:r w:rsidR="007A49F8">
        <w:rPr>
          <w:rFonts w:asciiTheme="majorHAnsi" w:hAnsiTheme="majorHAnsi"/>
          <w:i/>
          <w:sz w:val="22"/>
          <w:szCs w:val="22"/>
        </w:rPr>
        <w:t>6</w:t>
      </w:r>
      <w:r w:rsidR="007A49F8" w:rsidRPr="007A49F8">
        <w:rPr>
          <w:rFonts w:asciiTheme="majorHAnsi" w:hAnsiTheme="majorHAnsi"/>
          <w:i/>
          <w:sz w:val="22"/>
          <w:szCs w:val="22"/>
        </w:rPr>
        <w:t>)</w:t>
      </w:r>
      <w:r w:rsidR="00465E1E">
        <w:rPr>
          <w:rFonts w:asciiTheme="majorHAnsi" w:hAnsiTheme="majorHAnsi"/>
          <w:sz w:val="22"/>
          <w:szCs w:val="22"/>
        </w:rPr>
        <w:t xml:space="preserve"> </w:t>
      </w:r>
    </w:p>
    <w:p w14:paraId="33E8E1E1" w14:textId="037D1F4C" w:rsidR="00764FD4" w:rsidRDefault="00465E1E" w:rsidP="001B7143">
      <w:pPr>
        <w:pStyle w:val="ListParagraph"/>
        <w:numPr>
          <w:ilvl w:val="0"/>
          <w:numId w:val="6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1279CB">
        <w:rPr>
          <w:rFonts w:asciiTheme="majorHAnsi" w:hAnsiTheme="majorHAnsi"/>
          <w:b/>
          <w:sz w:val="22"/>
          <w:szCs w:val="22"/>
        </w:rPr>
        <w:t>Per</w:t>
      </w:r>
      <w:r w:rsidR="007B1E3E" w:rsidRPr="001279CB">
        <w:rPr>
          <w:rFonts w:asciiTheme="majorHAnsi" w:hAnsiTheme="majorHAnsi"/>
          <w:b/>
          <w:sz w:val="22"/>
          <w:szCs w:val="22"/>
        </w:rPr>
        <w:t>formance of Foreign Banks:</w:t>
      </w:r>
      <w:r w:rsidR="007B1E3E">
        <w:rPr>
          <w:rFonts w:asciiTheme="majorHAnsi" w:hAnsiTheme="majorHAnsi"/>
          <w:sz w:val="22"/>
          <w:szCs w:val="22"/>
        </w:rPr>
        <w:t xml:space="preserve"> </w:t>
      </w:r>
      <w:r w:rsidR="00C0733F">
        <w:rPr>
          <w:rFonts w:asciiTheme="majorHAnsi" w:hAnsiTheme="majorHAnsi"/>
          <w:sz w:val="22"/>
          <w:szCs w:val="22"/>
        </w:rPr>
        <w:t xml:space="preserve">The number of foreign banks in India </w:t>
      </w:r>
      <w:r w:rsidR="001B03C1">
        <w:rPr>
          <w:rFonts w:asciiTheme="majorHAnsi" w:hAnsiTheme="majorHAnsi"/>
          <w:sz w:val="22"/>
          <w:szCs w:val="22"/>
        </w:rPr>
        <w:t>grew</w:t>
      </w:r>
      <w:r w:rsidR="00C0733F">
        <w:rPr>
          <w:rFonts w:asciiTheme="majorHAnsi" w:hAnsiTheme="majorHAnsi"/>
          <w:sz w:val="22"/>
          <w:szCs w:val="22"/>
        </w:rPr>
        <w:t xml:space="preserve"> from 31 in 2008-09 to 43 in 2012-13</w:t>
      </w:r>
      <w:r w:rsidR="002E6D07">
        <w:rPr>
          <w:rFonts w:asciiTheme="majorHAnsi" w:hAnsiTheme="majorHAnsi"/>
          <w:sz w:val="22"/>
          <w:szCs w:val="22"/>
        </w:rPr>
        <w:t>,</w:t>
      </w:r>
      <w:r w:rsidR="00C0733F">
        <w:rPr>
          <w:rFonts w:asciiTheme="majorHAnsi" w:hAnsiTheme="majorHAnsi"/>
          <w:sz w:val="22"/>
          <w:szCs w:val="22"/>
        </w:rPr>
        <w:t xml:space="preserve"> as the RBI opens the </w:t>
      </w:r>
      <w:r w:rsidR="002E6D07">
        <w:rPr>
          <w:rFonts w:asciiTheme="majorHAnsi" w:hAnsiTheme="majorHAnsi"/>
          <w:sz w:val="22"/>
          <w:szCs w:val="22"/>
        </w:rPr>
        <w:t>system up</w:t>
      </w:r>
      <w:r w:rsidR="001B03C1">
        <w:rPr>
          <w:rFonts w:asciiTheme="majorHAnsi" w:hAnsiTheme="majorHAnsi"/>
          <w:sz w:val="22"/>
          <w:szCs w:val="22"/>
        </w:rPr>
        <w:t xml:space="preserve"> to more players. This sector was</w:t>
      </w:r>
      <w:r w:rsidR="002E6D07">
        <w:rPr>
          <w:rFonts w:asciiTheme="majorHAnsi" w:hAnsiTheme="majorHAnsi"/>
          <w:sz w:val="22"/>
          <w:szCs w:val="22"/>
        </w:rPr>
        <w:t xml:space="preserve"> also the most efficient in the banking industry, with the business per employee growing from INR 129 in 2008-09 to INR 217 in 2012-13, </w:t>
      </w:r>
      <w:r w:rsidR="00AC53FA">
        <w:rPr>
          <w:rFonts w:asciiTheme="majorHAnsi" w:hAnsiTheme="majorHAnsi"/>
          <w:sz w:val="22"/>
          <w:szCs w:val="22"/>
        </w:rPr>
        <w:t xml:space="preserve">while the number of employees have actually dropped from around 30,000 to around 25,000 over the same time. </w:t>
      </w:r>
      <w:r w:rsidR="00CA30AE">
        <w:rPr>
          <w:rFonts w:asciiTheme="majorHAnsi" w:hAnsiTheme="majorHAnsi"/>
          <w:sz w:val="22"/>
          <w:szCs w:val="22"/>
        </w:rPr>
        <w:t>However, the performance of foreign banks has been a mixed bag of sorts, with the NIM deteriorating from 4.33%</w:t>
      </w:r>
      <w:r w:rsidR="004B0C41">
        <w:rPr>
          <w:rFonts w:asciiTheme="majorHAnsi" w:hAnsiTheme="majorHAnsi"/>
          <w:sz w:val="22"/>
          <w:szCs w:val="22"/>
        </w:rPr>
        <w:t xml:space="preserve"> in 2008-09 to 3.89% in 2012-13 and</w:t>
      </w:r>
      <w:r w:rsidR="00CA30AE">
        <w:rPr>
          <w:rFonts w:asciiTheme="majorHAnsi" w:hAnsiTheme="majorHAnsi"/>
          <w:sz w:val="22"/>
          <w:szCs w:val="22"/>
        </w:rPr>
        <w:t xml:space="preserve"> </w:t>
      </w:r>
      <w:r w:rsidR="004B0C41">
        <w:rPr>
          <w:rFonts w:asciiTheme="majorHAnsi" w:hAnsiTheme="majorHAnsi"/>
          <w:sz w:val="22"/>
          <w:szCs w:val="22"/>
        </w:rPr>
        <w:t xml:space="preserve">a more-or-less constant </w:t>
      </w:r>
      <w:proofErr w:type="spellStart"/>
      <w:r w:rsidR="004B0C41">
        <w:rPr>
          <w:rFonts w:asciiTheme="majorHAnsi" w:hAnsiTheme="majorHAnsi"/>
          <w:sz w:val="22"/>
          <w:szCs w:val="22"/>
        </w:rPr>
        <w:t>RoA</w:t>
      </w:r>
      <w:proofErr w:type="spellEnd"/>
      <w:r w:rsidR="004B0C41">
        <w:rPr>
          <w:rFonts w:asciiTheme="majorHAnsi" w:hAnsiTheme="majorHAnsi"/>
          <w:sz w:val="22"/>
          <w:szCs w:val="22"/>
        </w:rPr>
        <w:t xml:space="preserve"> at around 1.9%, </w:t>
      </w:r>
      <w:r w:rsidR="00183AAF">
        <w:rPr>
          <w:rFonts w:asciiTheme="majorHAnsi" w:hAnsiTheme="majorHAnsi"/>
          <w:sz w:val="22"/>
          <w:szCs w:val="22"/>
        </w:rPr>
        <w:t xml:space="preserve">while the </w:t>
      </w:r>
      <w:proofErr w:type="spellStart"/>
      <w:r w:rsidR="00183AAF">
        <w:rPr>
          <w:rFonts w:asciiTheme="majorHAnsi" w:hAnsiTheme="majorHAnsi"/>
          <w:sz w:val="22"/>
          <w:szCs w:val="22"/>
        </w:rPr>
        <w:t>CoF</w:t>
      </w:r>
      <w:proofErr w:type="spellEnd"/>
      <w:r w:rsidR="00183AAF">
        <w:rPr>
          <w:rFonts w:asciiTheme="majorHAnsi" w:hAnsiTheme="majorHAnsi"/>
          <w:sz w:val="22"/>
          <w:szCs w:val="22"/>
        </w:rPr>
        <w:t xml:space="preserve"> dropped f</w:t>
      </w:r>
      <w:r w:rsidR="009E1F08">
        <w:rPr>
          <w:rFonts w:asciiTheme="majorHAnsi" w:hAnsiTheme="majorHAnsi"/>
          <w:sz w:val="22"/>
          <w:szCs w:val="22"/>
        </w:rPr>
        <w:t xml:space="preserve">rom 4.46% to 4.05% and Net NPAs </w:t>
      </w:r>
      <w:r w:rsidR="00183AAF">
        <w:rPr>
          <w:rFonts w:asciiTheme="majorHAnsi" w:hAnsiTheme="majorHAnsi"/>
          <w:sz w:val="22"/>
          <w:szCs w:val="22"/>
        </w:rPr>
        <w:t xml:space="preserve">improved from </w:t>
      </w:r>
      <w:r w:rsidR="006607FB">
        <w:rPr>
          <w:rFonts w:asciiTheme="majorHAnsi" w:hAnsiTheme="majorHAnsi"/>
          <w:sz w:val="22"/>
          <w:szCs w:val="22"/>
        </w:rPr>
        <w:t>1.81% to 1.01% during this period.</w:t>
      </w:r>
      <w:r w:rsidR="00DA5F1C">
        <w:rPr>
          <w:rFonts w:asciiTheme="majorHAnsi" w:hAnsiTheme="majorHAnsi"/>
          <w:sz w:val="22"/>
          <w:szCs w:val="22"/>
        </w:rPr>
        <w:t xml:space="preserve"> </w:t>
      </w:r>
      <w:r w:rsidR="007A49F8" w:rsidRPr="007A49F8">
        <w:rPr>
          <w:rFonts w:asciiTheme="majorHAnsi" w:hAnsiTheme="majorHAnsi"/>
          <w:i/>
          <w:sz w:val="22"/>
          <w:szCs w:val="22"/>
        </w:rPr>
        <w:t xml:space="preserve">(Refer to charts below) (Appendices: Table </w:t>
      </w:r>
      <w:r w:rsidR="007A49F8">
        <w:rPr>
          <w:rFonts w:asciiTheme="majorHAnsi" w:hAnsiTheme="majorHAnsi"/>
          <w:i/>
          <w:sz w:val="22"/>
          <w:szCs w:val="22"/>
        </w:rPr>
        <w:t>7</w:t>
      </w:r>
      <w:r w:rsidR="007A49F8" w:rsidRPr="007A49F8">
        <w:rPr>
          <w:rFonts w:asciiTheme="majorHAnsi" w:hAnsiTheme="majorHAnsi"/>
          <w:i/>
          <w:sz w:val="22"/>
          <w:szCs w:val="22"/>
        </w:rPr>
        <w:t>)</w:t>
      </w:r>
      <w:r w:rsidR="00DA5F1C">
        <w:rPr>
          <w:rFonts w:asciiTheme="majorHAnsi" w:hAnsiTheme="majorHAnsi"/>
          <w:sz w:val="22"/>
          <w:szCs w:val="22"/>
        </w:rPr>
        <w:t xml:space="preserve"> </w:t>
      </w:r>
    </w:p>
    <w:p w14:paraId="05C94164" w14:textId="77777777" w:rsidR="002144C5" w:rsidRDefault="002144C5">
      <w:pPr>
        <w:rPr>
          <w:rFonts w:asciiTheme="majorHAnsi" w:hAnsiTheme="majorHAnsi"/>
          <w:sz w:val="22"/>
          <w:szCs w:val="22"/>
        </w:rPr>
      </w:pPr>
      <w:r w:rsidRPr="007A4DC4">
        <w:rPr>
          <w:noProof/>
        </w:rPr>
        <w:drawing>
          <wp:inline distT="0" distB="0" distL="0" distR="0" wp14:anchorId="7142C1CF" wp14:editId="29120FF9">
            <wp:extent cx="3238305" cy="2256854"/>
            <wp:effectExtent l="0" t="0" r="0" b="3810"/>
            <wp:docPr id="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05" cy="225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E200" w14:textId="77777777" w:rsidR="00292154" w:rsidRDefault="00292154">
      <w:pPr>
        <w:rPr>
          <w:rFonts w:asciiTheme="majorHAnsi" w:hAnsiTheme="majorHAnsi"/>
          <w:sz w:val="22"/>
          <w:szCs w:val="22"/>
        </w:rPr>
      </w:pPr>
    </w:p>
    <w:p w14:paraId="3E60EFB7" w14:textId="77777777" w:rsidR="002144C5" w:rsidRDefault="002144C5">
      <w:pPr>
        <w:rPr>
          <w:rFonts w:asciiTheme="majorHAnsi" w:hAnsiTheme="majorHAnsi"/>
          <w:sz w:val="22"/>
          <w:szCs w:val="22"/>
        </w:rPr>
      </w:pPr>
      <w:r w:rsidRPr="0052403F">
        <w:rPr>
          <w:noProof/>
        </w:rPr>
        <w:drawing>
          <wp:inline distT="0" distB="0" distL="0" distR="0" wp14:anchorId="27164599" wp14:editId="1C78BFD9">
            <wp:extent cx="3218480" cy="2268000"/>
            <wp:effectExtent l="0" t="0" r="762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8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4880" w14:textId="77777777" w:rsidR="002144C5" w:rsidRDefault="002144C5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5D745DAE" w14:textId="77777777" w:rsidR="00463E84" w:rsidRDefault="00463E84">
      <w:pPr>
        <w:rPr>
          <w:rFonts w:asciiTheme="majorHAnsi" w:hAnsiTheme="majorHAnsi"/>
          <w:sz w:val="22"/>
          <w:szCs w:val="22"/>
        </w:rPr>
      </w:pPr>
      <w:r w:rsidRPr="00463E84">
        <w:rPr>
          <w:noProof/>
        </w:rPr>
        <w:lastRenderedPageBreak/>
        <w:drawing>
          <wp:inline distT="0" distB="0" distL="0" distR="0" wp14:anchorId="38DF66C4" wp14:editId="1F06A854">
            <wp:extent cx="3218480" cy="2268000"/>
            <wp:effectExtent l="0" t="0" r="762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8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BFA3F" w14:textId="77777777" w:rsidR="00463E84" w:rsidRDefault="00463E84">
      <w:pPr>
        <w:rPr>
          <w:rFonts w:asciiTheme="majorHAnsi" w:hAnsiTheme="majorHAnsi"/>
          <w:sz w:val="22"/>
          <w:szCs w:val="22"/>
        </w:rPr>
      </w:pPr>
    </w:p>
    <w:p w14:paraId="44AAC8EF" w14:textId="77777777" w:rsidR="001500D6" w:rsidRDefault="00626983">
      <w:pPr>
        <w:rPr>
          <w:rFonts w:asciiTheme="majorHAnsi" w:hAnsiTheme="majorHAnsi"/>
          <w:sz w:val="22"/>
          <w:szCs w:val="22"/>
        </w:rPr>
      </w:pPr>
      <w:r w:rsidRPr="00626983">
        <w:rPr>
          <w:noProof/>
        </w:rPr>
        <w:drawing>
          <wp:inline distT="0" distB="0" distL="0" distR="0" wp14:anchorId="13ABD934" wp14:editId="5B2C1191">
            <wp:extent cx="3218480" cy="2268000"/>
            <wp:effectExtent l="0" t="0" r="762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8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E4B0" w14:textId="77777777" w:rsidR="001500D6" w:rsidRDefault="001500D6">
      <w:pPr>
        <w:rPr>
          <w:rFonts w:asciiTheme="majorHAnsi" w:hAnsiTheme="majorHAnsi"/>
          <w:sz w:val="22"/>
          <w:szCs w:val="22"/>
        </w:rPr>
      </w:pPr>
    </w:p>
    <w:p w14:paraId="6A11DEE6" w14:textId="3D634918" w:rsidR="008C4B20" w:rsidRDefault="005B7913">
      <w:pPr>
        <w:rPr>
          <w:rFonts w:asciiTheme="majorHAnsi" w:hAnsiTheme="majorHAnsi"/>
          <w:sz w:val="22"/>
          <w:szCs w:val="22"/>
        </w:rPr>
      </w:pPr>
      <w:r w:rsidRPr="005B7913">
        <w:rPr>
          <w:noProof/>
        </w:rPr>
        <w:drawing>
          <wp:inline distT="0" distB="0" distL="0" distR="0" wp14:anchorId="15DAF24C" wp14:editId="631BB382">
            <wp:extent cx="3218480" cy="2268000"/>
            <wp:effectExtent l="0" t="0" r="762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8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B20">
        <w:rPr>
          <w:rFonts w:asciiTheme="majorHAnsi" w:hAnsiTheme="majorHAnsi"/>
          <w:sz w:val="22"/>
          <w:szCs w:val="22"/>
        </w:rPr>
        <w:br w:type="page"/>
      </w:r>
    </w:p>
    <w:p w14:paraId="68DD9564" w14:textId="4C4D35BC" w:rsidR="006607FB" w:rsidRPr="0012016C" w:rsidRDefault="00D87251" w:rsidP="0012016C">
      <w:pPr>
        <w:pStyle w:val="Heading2"/>
        <w:spacing w:after="120"/>
        <w:jc w:val="center"/>
        <w:rPr>
          <w:color w:val="auto"/>
        </w:rPr>
      </w:pPr>
      <w:bookmarkStart w:id="7" w:name="_Toc307918019"/>
      <w:r w:rsidRPr="0012016C">
        <w:rPr>
          <w:color w:val="auto"/>
        </w:rPr>
        <w:lastRenderedPageBreak/>
        <w:t>Appendices</w:t>
      </w:r>
      <w:bookmarkEnd w:id="7"/>
    </w:p>
    <w:p w14:paraId="4918A5F7" w14:textId="0E5614C9" w:rsidR="008729AA" w:rsidRDefault="008729AA" w:rsidP="00DA5F1C">
      <w:pPr>
        <w:spacing w:after="200" w:line="276" w:lineRule="auto"/>
        <w:rPr>
          <w:rFonts w:asciiTheme="majorHAnsi" w:hAnsiTheme="majorHAnsi"/>
          <w:sz w:val="22"/>
          <w:szCs w:val="22"/>
        </w:rPr>
      </w:pPr>
      <w:r w:rsidRPr="008729AA">
        <w:rPr>
          <w:noProof/>
        </w:rPr>
        <w:drawing>
          <wp:inline distT="0" distB="0" distL="0" distR="0" wp14:anchorId="6AB0E84D" wp14:editId="5D6C2822">
            <wp:extent cx="5270500" cy="4008777"/>
            <wp:effectExtent l="0" t="0" r="0" b="4445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C98C4" w14:textId="5824B949" w:rsidR="008729AA" w:rsidRPr="008729AA" w:rsidRDefault="008729AA" w:rsidP="00DA5F1C">
      <w:pPr>
        <w:spacing w:after="200" w:line="276" w:lineRule="auto"/>
        <w:rPr>
          <w:rFonts w:asciiTheme="majorHAnsi" w:hAnsiTheme="majorHAnsi"/>
          <w:i/>
          <w:sz w:val="22"/>
          <w:szCs w:val="22"/>
        </w:rPr>
      </w:pPr>
      <w:r w:rsidRPr="008729AA">
        <w:rPr>
          <w:rFonts w:asciiTheme="majorHAnsi" w:hAnsiTheme="majorHAnsi"/>
          <w:i/>
          <w:sz w:val="22"/>
          <w:szCs w:val="22"/>
        </w:rPr>
        <w:t>(Source: RBI)</w:t>
      </w:r>
    </w:p>
    <w:p w14:paraId="1C5432C2" w14:textId="77777777" w:rsidR="002D7819" w:rsidRDefault="002D781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652BF891" w14:textId="7F889829" w:rsidR="002D7819" w:rsidRDefault="00236078" w:rsidP="00DA5F1C">
      <w:pPr>
        <w:spacing w:after="200" w:line="276" w:lineRule="auto"/>
        <w:rPr>
          <w:rFonts w:asciiTheme="majorHAnsi" w:hAnsiTheme="majorHAnsi"/>
          <w:sz w:val="22"/>
          <w:szCs w:val="22"/>
        </w:rPr>
      </w:pPr>
      <w:r w:rsidRPr="00236078">
        <w:rPr>
          <w:noProof/>
        </w:rPr>
        <w:lastRenderedPageBreak/>
        <w:drawing>
          <wp:inline distT="0" distB="0" distL="0" distR="0" wp14:anchorId="7AAE4835" wp14:editId="3319CADF">
            <wp:extent cx="3856990" cy="4391025"/>
            <wp:effectExtent l="0" t="0" r="3810" b="3175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89DC7" w14:textId="6699C145" w:rsidR="00EC356E" w:rsidRPr="00EC356E" w:rsidRDefault="00EC356E" w:rsidP="00DA5F1C">
      <w:pPr>
        <w:spacing w:after="200" w:line="276" w:lineRule="auto"/>
        <w:rPr>
          <w:rFonts w:asciiTheme="majorHAnsi" w:hAnsiTheme="majorHAnsi"/>
          <w:i/>
          <w:sz w:val="22"/>
          <w:szCs w:val="22"/>
        </w:rPr>
      </w:pPr>
      <w:r w:rsidRPr="00EC356E">
        <w:rPr>
          <w:rFonts w:asciiTheme="majorHAnsi" w:hAnsiTheme="majorHAnsi"/>
          <w:i/>
          <w:sz w:val="22"/>
          <w:szCs w:val="22"/>
        </w:rPr>
        <w:t>(Source: RBI)</w:t>
      </w:r>
    </w:p>
    <w:p w14:paraId="762DC0B9" w14:textId="77777777" w:rsidR="00EC356E" w:rsidRDefault="00EC356E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54478001" w14:textId="49BAC3D8" w:rsidR="00EC356E" w:rsidRDefault="00C53E7C" w:rsidP="00DA5F1C">
      <w:pPr>
        <w:spacing w:after="200" w:line="276" w:lineRule="auto"/>
        <w:rPr>
          <w:rFonts w:asciiTheme="majorHAnsi" w:hAnsiTheme="majorHAnsi"/>
          <w:sz w:val="22"/>
          <w:szCs w:val="22"/>
        </w:rPr>
      </w:pPr>
      <w:r w:rsidRPr="00C53E7C">
        <w:rPr>
          <w:noProof/>
        </w:rPr>
        <w:lastRenderedPageBreak/>
        <w:drawing>
          <wp:inline distT="0" distB="0" distL="0" distR="0" wp14:anchorId="3F7FF7F3" wp14:editId="0CC617C8">
            <wp:extent cx="5270500" cy="4301010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449F" w14:textId="334F50D1" w:rsidR="000972E9" w:rsidRPr="000972E9" w:rsidRDefault="000972E9" w:rsidP="00DA5F1C">
      <w:pPr>
        <w:spacing w:after="200" w:line="276" w:lineRule="auto"/>
        <w:rPr>
          <w:rFonts w:asciiTheme="majorHAnsi" w:hAnsiTheme="majorHAnsi"/>
          <w:i/>
          <w:sz w:val="22"/>
          <w:szCs w:val="22"/>
        </w:rPr>
      </w:pPr>
      <w:r w:rsidRPr="000972E9">
        <w:rPr>
          <w:rFonts w:asciiTheme="majorHAnsi" w:hAnsiTheme="majorHAnsi"/>
          <w:i/>
          <w:sz w:val="22"/>
          <w:szCs w:val="22"/>
        </w:rPr>
        <w:t>(Source: RBI)</w:t>
      </w:r>
    </w:p>
    <w:p w14:paraId="10803948" w14:textId="77777777" w:rsidR="000972E9" w:rsidRDefault="000972E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22224631" w14:textId="257B56A4" w:rsidR="000972E9" w:rsidRDefault="00C33BC3" w:rsidP="00DA5F1C">
      <w:pPr>
        <w:spacing w:after="200" w:line="276" w:lineRule="auto"/>
        <w:rPr>
          <w:rFonts w:asciiTheme="majorHAnsi" w:hAnsiTheme="majorHAnsi"/>
          <w:sz w:val="22"/>
          <w:szCs w:val="22"/>
        </w:rPr>
      </w:pPr>
      <w:r w:rsidRPr="00C33BC3">
        <w:rPr>
          <w:noProof/>
        </w:rPr>
        <w:lastRenderedPageBreak/>
        <w:drawing>
          <wp:inline distT="0" distB="0" distL="0" distR="0" wp14:anchorId="32D73B7B" wp14:editId="5630B422">
            <wp:extent cx="4789170" cy="1158875"/>
            <wp:effectExtent l="0" t="0" r="11430" b="952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4DCE" w14:textId="4F864D74" w:rsidR="00187817" w:rsidRPr="00187817" w:rsidRDefault="00187817" w:rsidP="00DA5F1C">
      <w:pPr>
        <w:spacing w:after="200" w:line="276" w:lineRule="auto"/>
        <w:rPr>
          <w:rFonts w:asciiTheme="majorHAnsi" w:hAnsiTheme="majorHAnsi"/>
          <w:i/>
          <w:sz w:val="22"/>
          <w:szCs w:val="22"/>
        </w:rPr>
      </w:pPr>
      <w:r w:rsidRPr="00187817">
        <w:rPr>
          <w:rFonts w:asciiTheme="majorHAnsi" w:hAnsiTheme="majorHAnsi"/>
          <w:i/>
          <w:sz w:val="22"/>
          <w:szCs w:val="22"/>
        </w:rPr>
        <w:t>(Source: Business Monitor International)</w:t>
      </w:r>
    </w:p>
    <w:p w14:paraId="7D944355" w14:textId="77777777" w:rsidR="00187817" w:rsidRDefault="0018781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3BE817FA" w14:textId="39EC1BD2" w:rsidR="00187817" w:rsidRDefault="00512C2C" w:rsidP="00DA5F1C">
      <w:pPr>
        <w:spacing w:after="200" w:line="276" w:lineRule="auto"/>
        <w:rPr>
          <w:rFonts w:asciiTheme="majorHAnsi" w:hAnsiTheme="majorHAnsi"/>
          <w:sz w:val="22"/>
          <w:szCs w:val="22"/>
        </w:rPr>
      </w:pPr>
      <w:r w:rsidRPr="00512C2C">
        <w:rPr>
          <w:noProof/>
        </w:rPr>
        <w:lastRenderedPageBreak/>
        <w:drawing>
          <wp:inline distT="0" distB="0" distL="0" distR="0" wp14:anchorId="341C3531" wp14:editId="789B4B12">
            <wp:extent cx="5270500" cy="3668248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28A9" w14:textId="33DBD9E0" w:rsidR="009E34EF" w:rsidRPr="009E34EF" w:rsidRDefault="009E34EF" w:rsidP="00DA5F1C">
      <w:pPr>
        <w:spacing w:after="200" w:line="276" w:lineRule="auto"/>
        <w:rPr>
          <w:rFonts w:asciiTheme="majorHAnsi" w:hAnsiTheme="majorHAnsi"/>
          <w:i/>
          <w:sz w:val="22"/>
          <w:szCs w:val="22"/>
        </w:rPr>
      </w:pPr>
      <w:r w:rsidRPr="009E34EF">
        <w:rPr>
          <w:rFonts w:asciiTheme="majorHAnsi" w:hAnsiTheme="majorHAnsi"/>
          <w:i/>
          <w:sz w:val="22"/>
          <w:szCs w:val="22"/>
        </w:rPr>
        <w:t>(Source: RBI)</w:t>
      </w:r>
    </w:p>
    <w:p w14:paraId="4A676984" w14:textId="77777777" w:rsidR="009E34EF" w:rsidRDefault="009E34EF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7C47D8EC" w14:textId="1769A6BF" w:rsidR="009E34EF" w:rsidRDefault="00AB5693" w:rsidP="00DA5F1C">
      <w:pPr>
        <w:spacing w:after="200" w:line="276" w:lineRule="auto"/>
        <w:rPr>
          <w:rFonts w:asciiTheme="majorHAnsi" w:hAnsiTheme="majorHAnsi"/>
          <w:sz w:val="22"/>
          <w:szCs w:val="22"/>
        </w:rPr>
      </w:pPr>
      <w:r w:rsidRPr="00AB5693">
        <w:rPr>
          <w:noProof/>
        </w:rPr>
        <w:lastRenderedPageBreak/>
        <w:drawing>
          <wp:inline distT="0" distB="0" distL="0" distR="0" wp14:anchorId="5A159276" wp14:editId="4AA23082">
            <wp:extent cx="5270500" cy="3927424"/>
            <wp:effectExtent l="0" t="0" r="0" b="1016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2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C309" w14:textId="7D050AC8" w:rsidR="00E933D2" w:rsidRPr="00E933D2" w:rsidRDefault="00E933D2" w:rsidP="00DA5F1C">
      <w:pPr>
        <w:spacing w:after="200" w:line="276" w:lineRule="auto"/>
        <w:rPr>
          <w:rFonts w:asciiTheme="majorHAnsi" w:hAnsiTheme="majorHAnsi"/>
          <w:i/>
          <w:sz w:val="22"/>
          <w:szCs w:val="22"/>
        </w:rPr>
      </w:pPr>
      <w:r w:rsidRPr="00E933D2">
        <w:rPr>
          <w:rFonts w:asciiTheme="majorHAnsi" w:hAnsiTheme="majorHAnsi"/>
          <w:i/>
          <w:sz w:val="22"/>
          <w:szCs w:val="22"/>
        </w:rPr>
        <w:t>(Source: RBI)</w:t>
      </w:r>
    </w:p>
    <w:p w14:paraId="2E9DE1F3" w14:textId="77777777" w:rsidR="00E933D2" w:rsidRDefault="00E933D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79F1FFD7" w14:textId="1D24CA86" w:rsidR="00E933D2" w:rsidRDefault="009A3905" w:rsidP="00DA5F1C">
      <w:pPr>
        <w:spacing w:after="200" w:line="276" w:lineRule="auto"/>
        <w:rPr>
          <w:rFonts w:asciiTheme="majorHAnsi" w:hAnsiTheme="majorHAnsi"/>
          <w:sz w:val="22"/>
          <w:szCs w:val="22"/>
        </w:rPr>
      </w:pPr>
      <w:r w:rsidRPr="009A3905">
        <w:rPr>
          <w:noProof/>
        </w:rPr>
        <w:lastRenderedPageBreak/>
        <w:drawing>
          <wp:inline distT="0" distB="0" distL="0" distR="0" wp14:anchorId="08C15735" wp14:editId="5033BFDB">
            <wp:extent cx="5270500" cy="4077798"/>
            <wp:effectExtent l="0" t="0" r="0" b="12065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7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17FD" w14:textId="71122134" w:rsidR="008C4B20" w:rsidRPr="009A3905" w:rsidRDefault="009A3905" w:rsidP="00DA5F1C">
      <w:pPr>
        <w:spacing w:after="200" w:line="276" w:lineRule="auto"/>
        <w:rPr>
          <w:rFonts w:asciiTheme="majorHAnsi" w:hAnsiTheme="majorHAnsi"/>
          <w:i/>
          <w:sz w:val="22"/>
          <w:szCs w:val="22"/>
        </w:rPr>
      </w:pPr>
      <w:r w:rsidRPr="009A3905">
        <w:rPr>
          <w:rFonts w:asciiTheme="majorHAnsi" w:hAnsiTheme="majorHAnsi"/>
          <w:i/>
          <w:sz w:val="22"/>
          <w:szCs w:val="22"/>
        </w:rPr>
        <w:t>(Source: RBI)</w:t>
      </w:r>
    </w:p>
    <w:p w14:paraId="301A8ACD" w14:textId="5AC324B1" w:rsidR="0012016C" w:rsidRPr="0012016C" w:rsidRDefault="0012016C" w:rsidP="0012016C">
      <w:pPr>
        <w:pStyle w:val="Heading2"/>
        <w:spacing w:after="120"/>
        <w:jc w:val="center"/>
        <w:rPr>
          <w:color w:val="auto"/>
        </w:rPr>
      </w:pPr>
      <w:r>
        <w:br w:type="column"/>
      </w:r>
      <w:bookmarkStart w:id="8" w:name="_Toc307918020"/>
      <w:r w:rsidRPr="0012016C">
        <w:rPr>
          <w:color w:val="auto"/>
        </w:rPr>
        <w:lastRenderedPageBreak/>
        <w:t>Sources</w:t>
      </w:r>
      <w:bookmarkEnd w:id="8"/>
    </w:p>
    <w:p w14:paraId="27349B32" w14:textId="53DADB4E" w:rsidR="0012016C" w:rsidRPr="00017D0C" w:rsidRDefault="00017D0C" w:rsidP="00017D0C">
      <w:pPr>
        <w:pStyle w:val="ListParagraph"/>
        <w:numPr>
          <w:ilvl w:val="0"/>
          <w:numId w:val="7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017D0C">
        <w:rPr>
          <w:rFonts w:asciiTheme="majorHAnsi" w:hAnsiTheme="majorHAnsi"/>
          <w:sz w:val="22"/>
          <w:szCs w:val="22"/>
        </w:rPr>
        <w:t>RBI (www.rbi.org.in)</w:t>
      </w:r>
    </w:p>
    <w:p w14:paraId="2B54BFC3" w14:textId="3D1B1A32" w:rsidR="00D0245A" w:rsidRDefault="00D0245A" w:rsidP="00017D0C">
      <w:pPr>
        <w:pStyle w:val="ListParagraph"/>
        <w:numPr>
          <w:ilvl w:val="0"/>
          <w:numId w:val="7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‘A Profile of Banks’, 2012-13, RBI</w:t>
      </w:r>
    </w:p>
    <w:p w14:paraId="009F5D88" w14:textId="5E8C55A5" w:rsidR="00017D0C" w:rsidRDefault="00BD37D4" w:rsidP="00017D0C">
      <w:pPr>
        <w:pStyle w:val="ListParagraph"/>
        <w:numPr>
          <w:ilvl w:val="0"/>
          <w:numId w:val="7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‘</w:t>
      </w:r>
      <w:r w:rsidR="00CE154F">
        <w:rPr>
          <w:rFonts w:asciiTheme="majorHAnsi" w:hAnsiTheme="majorHAnsi"/>
          <w:sz w:val="22"/>
          <w:szCs w:val="22"/>
        </w:rPr>
        <w:t>India Commercial Banking Report</w:t>
      </w:r>
      <w:r>
        <w:rPr>
          <w:rFonts w:asciiTheme="majorHAnsi" w:hAnsiTheme="majorHAnsi"/>
          <w:sz w:val="22"/>
          <w:szCs w:val="22"/>
        </w:rPr>
        <w:t>’,</w:t>
      </w:r>
      <w:r w:rsidR="00CE154F">
        <w:rPr>
          <w:rFonts w:asciiTheme="majorHAnsi" w:hAnsiTheme="majorHAnsi"/>
          <w:sz w:val="22"/>
          <w:szCs w:val="22"/>
        </w:rPr>
        <w:t xml:space="preserve"> Q22015, Business Monitor International</w:t>
      </w:r>
    </w:p>
    <w:p w14:paraId="0D65D53F" w14:textId="55F5513B" w:rsidR="00CE154F" w:rsidRDefault="00BD37D4" w:rsidP="00017D0C">
      <w:pPr>
        <w:pStyle w:val="ListParagraph"/>
        <w:numPr>
          <w:ilvl w:val="0"/>
          <w:numId w:val="7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‘Banks in India’, October 2014, </w:t>
      </w:r>
      <w:proofErr w:type="spellStart"/>
      <w:r w:rsidR="00BE5224">
        <w:rPr>
          <w:rFonts w:asciiTheme="majorHAnsi" w:hAnsiTheme="majorHAnsi"/>
          <w:sz w:val="22"/>
          <w:szCs w:val="22"/>
        </w:rPr>
        <w:t>MarketLine</w:t>
      </w:r>
      <w:proofErr w:type="spellEnd"/>
      <w:r w:rsidR="00BE5224">
        <w:rPr>
          <w:rFonts w:asciiTheme="majorHAnsi" w:hAnsiTheme="majorHAnsi"/>
          <w:sz w:val="22"/>
          <w:szCs w:val="22"/>
        </w:rPr>
        <w:t xml:space="preserve"> Industry Profile</w:t>
      </w:r>
    </w:p>
    <w:p w14:paraId="3643DCBD" w14:textId="5221BF3D" w:rsidR="009202F6" w:rsidRPr="00D0245A" w:rsidRDefault="00727E0B" w:rsidP="00D0245A">
      <w:pPr>
        <w:pStyle w:val="ListParagraph"/>
        <w:numPr>
          <w:ilvl w:val="0"/>
          <w:numId w:val="7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 w:rsidRPr="00727E0B">
        <w:rPr>
          <w:rFonts w:asciiTheme="majorHAnsi" w:hAnsiTheme="majorHAnsi"/>
          <w:sz w:val="22"/>
          <w:szCs w:val="22"/>
        </w:rPr>
        <w:t>‘</w:t>
      </w:r>
      <w:r w:rsidRPr="00727E0B">
        <w:rPr>
          <w:rFonts w:asciiTheme="majorHAnsi" w:hAnsiTheme="majorHAnsi"/>
          <w:bCs/>
          <w:sz w:val="22"/>
          <w:szCs w:val="22"/>
        </w:rPr>
        <w:t>Entry, Concentration and the Process of Competition: Early Days of Deregulating Pr</w:t>
      </w:r>
      <w:r>
        <w:rPr>
          <w:rFonts w:asciiTheme="majorHAnsi" w:hAnsiTheme="majorHAnsi"/>
          <w:bCs/>
          <w:sz w:val="22"/>
          <w:szCs w:val="22"/>
        </w:rPr>
        <w:t xml:space="preserve">ivate Banking Industry in India’, K V </w:t>
      </w:r>
      <w:proofErr w:type="spellStart"/>
      <w:r>
        <w:rPr>
          <w:rFonts w:asciiTheme="majorHAnsi" w:hAnsiTheme="majorHAnsi"/>
          <w:bCs/>
          <w:sz w:val="22"/>
          <w:szCs w:val="22"/>
        </w:rPr>
        <w:t>Bhanu</w:t>
      </w:r>
      <w:proofErr w:type="spellEnd"/>
      <w:r>
        <w:rPr>
          <w:rFonts w:asciiTheme="majorHAnsi" w:hAnsiTheme="majorHAnsi"/>
          <w:bCs/>
          <w:sz w:val="22"/>
          <w:szCs w:val="22"/>
        </w:rPr>
        <w:t xml:space="preserve"> Murthy and </w:t>
      </w:r>
      <w:proofErr w:type="spellStart"/>
      <w:r>
        <w:rPr>
          <w:rFonts w:asciiTheme="majorHAnsi" w:hAnsiTheme="majorHAnsi"/>
          <w:bCs/>
          <w:sz w:val="22"/>
          <w:szCs w:val="22"/>
        </w:rPr>
        <w:t>Ashis</w:t>
      </w:r>
      <w:proofErr w:type="spellEnd"/>
      <w:r>
        <w:rPr>
          <w:rFonts w:asciiTheme="majorHAnsi" w:hAnsiTheme="majorHAnsi"/>
          <w:bCs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bCs/>
          <w:sz w:val="22"/>
          <w:szCs w:val="22"/>
        </w:rPr>
        <w:t>Taru</w:t>
      </w:r>
      <w:proofErr w:type="spellEnd"/>
      <w:r>
        <w:rPr>
          <w:rFonts w:asciiTheme="majorHAnsi" w:hAnsiTheme="majorHAnsi"/>
          <w:bCs/>
          <w:sz w:val="22"/>
          <w:szCs w:val="22"/>
        </w:rPr>
        <w:t xml:space="preserve"> Deb, </w:t>
      </w:r>
      <w:r w:rsidR="004E2714">
        <w:rPr>
          <w:rFonts w:asciiTheme="majorHAnsi" w:hAnsiTheme="majorHAnsi"/>
          <w:bCs/>
          <w:sz w:val="22"/>
          <w:szCs w:val="22"/>
        </w:rPr>
        <w:t>IUP Journal of Applied Finance</w:t>
      </w:r>
    </w:p>
    <w:p w14:paraId="11567B44" w14:textId="793C504F" w:rsidR="00C722A3" w:rsidRPr="00D0245A" w:rsidRDefault="004C215E" w:rsidP="00D0245A">
      <w:pPr>
        <w:pStyle w:val="ListParagraph"/>
        <w:numPr>
          <w:ilvl w:val="0"/>
          <w:numId w:val="7"/>
        </w:numPr>
        <w:spacing w:after="200"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‘India names systemically important banks’, </w:t>
      </w:r>
      <w:proofErr w:type="spellStart"/>
      <w:r>
        <w:rPr>
          <w:rFonts w:asciiTheme="majorHAnsi" w:hAnsiTheme="majorHAnsi"/>
          <w:sz w:val="22"/>
          <w:szCs w:val="22"/>
        </w:rPr>
        <w:t>Narae</w:t>
      </w:r>
      <w:proofErr w:type="spellEnd"/>
      <w:r>
        <w:rPr>
          <w:rFonts w:asciiTheme="majorHAnsi" w:hAnsiTheme="majorHAnsi"/>
          <w:sz w:val="22"/>
          <w:szCs w:val="22"/>
        </w:rPr>
        <w:t xml:space="preserve"> Kim, </w:t>
      </w:r>
      <w:proofErr w:type="spellStart"/>
      <w:r w:rsidR="00087C25">
        <w:rPr>
          <w:rFonts w:asciiTheme="majorHAnsi" w:hAnsiTheme="majorHAnsi"/>
          <w:sz w:val="22"/>
          <w:szCs w:val="22"/>
        </w:rPr>
        <w:t>GlobalCapital</w:t>
      </w:r>
      <w:proofErr w:type="spellEnd"/>
    </w:p>
    <w:sectPr w:rsidR="00C722A3" w:rsidRPr="00D0245A" w:rsidSect="00AF4D4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chin">
    <w:altName w:val="Trebuchet MS"/>
    <w:charset w:val="00"/>
    <w:family w:val="auto"/>
    <w:pitch w:val="variable"/>
    <w:sig w:usb0="00000001" w:usb1="4000004A" w:usb2="00000000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624D7"/>
    <w:multiLevelType w:val="hybridMultilevel"/>
    <w:tmpl w:val="D8E20E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A71758"/>
    <w:multiLevelType w:val="hybridMultilevel"/>
    <w:tmpl w:val="619E5B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9C1E26"/>
    <w:multiLevelType w:val="hybridMultilevel"/>
    <w:tmpl w:val="E74E5D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176AB6"/>
    <w:multiLevelType w:val="hybridMultilevel"/>
    <w:tmpl w:val="D47895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9B3DD3"/>
    <w:multiLevelType w:val="hybridMultilevel"/>
    <w:tmpl w:val="91D2C6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B00D48"/>
    <w:multiLevelType w:val="hybridMultilevel"/>
    <w:tmpl w:val="22E8A0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E3B3EEA"/>
    <w:multiLevelType w:val="hybridMultilevel"/>
    <w:tmpl w:val="6630D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215"/>
    <w:rsid w:val="00010FDB"/>
    <w:rsid w:val="00012954"/>
    <w:rsid w:val="00017D0C"/>
    <w:rsid w:val="00021798"/>
    <w:rsid w:val="000218DC"/>
    <w:rsid w:val="00032AB1"/>
    <w:rsid w:val="00056536"/>
    <w:rsid w:val="00061BC3"/>
    <w:rsid w:val="0006644E"/>
    <w:rsid w:val="00071F78"/>
    <w:rsid w:val="00087C25"/>
    <w:rsid w:val="00090F6A"/>
    <w:rsid w:val="00091768"/>
    <w:rsid w:val="00092B46"/>
    <w:rsid w:val="000972E9"/>
    <w:rsid w:val="000B1EDF"/>
    <w:rsid w:val="000D7B11"/>
    <w:rsid w:val="000E5A4A"/>
    <w:rsid w:val="000E699E"/>
    <w:rsid w:val="0010633D"/>
    <w:rsid w:val="0011004E"/>
    <w:rsid w:val="0011564A"/>
    <w:rsid w:val="0012016C"/>
    <w:rsid w:val="001279CB"/>
    <w:rsid w:val="001466BA"/>
    <w:rsid w:val="001500D6"/>
    <w:rsid w:val="00163606"/>
    <w:rsid w:val="00170EB8"/>
    <w:rsid w:val="00177F1A"/>
    <w:rsid w:val="00183AAF"/>
    <w:rsid w:val="00186CC2"/>
    <w:rsid w:val="00187817"/>
    <w:rsid w:val="00193826"/>
    <w:rsid w:val="001A7A87"/>
    <w:rsid w:val="001B03C1"/>
    <w:rsid w:val="001B3429"/>
    <w:rsid w:val="001B7143"/>
    <w:rsid w:val="001C2F13"/>
    <w:rsid w:val="001E390F"/>
    <w:rsid w:val="001F5A1E"/>
    <w:rsid w:val="00200F14"/>
    <w:rsid w:val="002037A7"/>
    <w:rsid w:val="00207300"/>
    <w:rsid w:val="002144C5"/>
    <w:rsid w:val="00217839"/>
    <w:rsid w:val="00226798"/>
    <w:rsid w:val="00236078"/>
    <w:rsid w:val="00237217"/>
    <w:rsid w:val="00243C78"/>
    <w:rsid w:val="00250FCF"/>
    <w:rsid w:val="00256C94"/>
    <w:rsid w:val="00263254"/>
    <w:rsid w:val="0026325F"/>
    <w:rsid w:val="00273105"/>
    <w:rsid w:val="00274C2F"/>
    <w:rsid w:val="00275F35"/>
    <w:rsid w:val="0027606F"/>
    <w:rsid w:val="00280B91"/>
    <w:rsid w:val="00280F85"/>
    <w:rsid w:val="00287018"/>
    <w:rsid w:val="00291E97"/>
    <w:rsid w:val="00292154"/>
    <w:rsid w:val="002A11EB"/>
    <w:rsid w:val="002B155C"/>
    <w:rsid w:val="002B2903"/>
    <w:rsid w:val="002D7819"/>
    <w:rsid w:val="002E6D07"/>
    <w:rsid w:val="00307F60"/>
    <w:rsid w:val="00315604"/>
    <w:rsid w:val="003218F0"/>
    <w:rsid w:val="003258A0"/>
    <w:rsid w:val="003304AB"/>
    <w:rsid w:val="003312EE"/>
    <w:rsid w:val="00342849"/>
    <w:rsid w:val="00352B20"/>
    <w:rsid w:val="003656F2"/>
    <w:rsid w:val="00370C32"/>
    <w:rsid w:val="00380B2E"/>
    <w:rsid w:val="00385383"/>
    <w:rsid w:val="003B34E2"/>
    <w:rsid w:val="003C0932"/>
    <w:rsid w:val="003C3B54"/>
    <w:rsid w:val="003D7009"/>
    <w:rsid w:val="003E0EBD"/>
    <w:rsid w:val="003F45B8"/>
    <w:rsid w:val="00404E5A"/>
    <w:rsid w:val="00431F7C"/>
    <w:rsid w:val="00437DE5"/>
    <w:rsid w:val="004448DB"/>
    <w:rsid w:val="00453684"/>
    <w:rsid w:val="00463E84"/>
    <w:rsid w:val="00465E1E"/>
    <w:rsid w:val="004845FB"/>
    <w:rsid w:val="00485593"/>
    <w:rsid w:val="00494A40"/>
    <w:rsid w:val="00494E98"/>
    <w:rsid w:val="004A008B"/>
    <w:rsid w:val="004B0C41"/>
    <w:rsid w:val="004B2023"/>
    <w:rsid w:val="004C215E"/>
    <w:rsid w:val="004D7AA2"/>
    <w:rsid w:val="004E2714"/>
    <w:rsid w:val="00500EAA"/>
    <w:rsid w:val="00512C2C"/>
    <w:rsid w:val="00522CE5"/>
    <w:rsid w:val="0052403F"/>
    <w:rsid w:val="00545F67"/>
    <w:rsid w:val="005475D6"/>
    <w:rsid w:val="005634D1"/>
    <w:rsid w:val="0056791F"/>
    <w:rsid w:val="005A2BE8"/>
    <w:rsid w:val="005B0850"/>
    <w:rsid w:val="005B5AD6"/>
    <w:rsid w:val="005B5B37"/>
    <w:rsid w:val="005B7913"/>
    <w:rsid w:val="005C51CE"/>
    <w:rsid w:val="005C5981"/>
    <w:rsid w:val="005C7D59"/>
    <w:rsid w:val="005E632F"/>
    <w:rsid w:val="005E7984"/>
    <w:rsid w:val="005F10B6"/>
    <w:rsid w:val="00606978"/>
    <w:rsid w:val="00623892"/>
    <w:rsid w:val="00624B81"/>
    <w:rsid w:val="0062510A"/>
    <w:rsid w:val="00625127"/>
    <w:rsid w:val="0062648C"/>
    <w:rsid w:val="00626983"/>
    <w:rsid w:val="006324AB"/>
    <w:rsid w:val="00643161"/>
    <w:rsid w:val="006607FB"/>
    <w:rsid w:val="006879BF"/>
    <w:rsid w:val="00690955"/>
    <w:rsid w:val="006943ED"/>
    <w:rsid w:val="006B415F"/>
    <w:rsid w:val="006C6BD7"/>
    <w:rsid w:val="006E003E"/>
    <w:rsid w:val="006F62AB"/>
    <w:rsid w:val="007275E1"/>
    <w:rsid w:val="00727E0B"/>
    <w:rsid w:val="00734B47"/>
    <w:rsid w:val="00734C7C"/>
    <w:rsid w:val="00751536"/>
    <w:rsid w:val="0075453E"/>
    <w:rsid w:val="00762CC1"/>
    <w:rsid w:val="00764FD4"/>
    <w:rsid w:val="00783BAD"/>
    <w:rsid w:val="00794D29"/>
    <w:rsid w:val="007A49F8"/>
    <w:rsid w:val="007A4DC4"/>
    <w:rsid w:val="007B1E3E"/>
    <w:rsid w:val="007D4F7C"/>
    <w:rsid w:val="007E51A7"/>
    <w:rsid w:val="007F440D"/>
    <w:rsid w:val="00804302"/>
    <w:rsid w:val="00805415"/>
    <w:rsid w:val="00821DDA"/>
    <w:rsid w:val="008617AA"/>
    <w:rsid w:val="008729AA"/>
    <w:rsid w:val="00873529"/>
    <w:rsid w:val="0088731A"/>
    <w:rsid w:val="008924C0"/>
    <w:rsid w:val="008A76CE"/>
    <w:rsid w:val="008C4B20"/>
    <w:rsid w:val="008E2EE6"/>
    <w:rsid w:val="008E6A96"/>
    <w:rsid w:val="00900DE3"/>
    <w:rsid w:val="009202F6"/>
    <w:rsid w:val="009344B2"/>
    <w:rsid w:val="00940D3E"/>
    <w:rsid w:val="0094251D"/>
    <w:rsid w:val="009464AA"/>
    <w:rsid w:val="00946B63"/>
    <w:rsid w:val="009531FA"/>
    <w:rsid w:val="00960C6F"/>
    <w:rsid w:val="00964730"/>
    <w:rsid w:val="00970311"/>
    <w:rsid w:val="00992CCB"/>
    <w:rsid w:val="009A1B8A"/>
    <w:rsid w:val="009A3905"/>
    <w:rsid w:val="009B0A09"/>
    <w:rsid w:val="009D054F"/>
    <w:rsid w:val="009E1F08"/>
    <w:rsid w:val="009E34EF"/>
    <w:rsid w:val="00A04E4B"/>
    <w:rsid w:val="00A15089"/>
    <w:rsid w:val="00A15160"/>
    <w:rsid w:val="00A16E29"/>
    <w:rsid w:val="00A3428D"/>
    <w:rsid w:val="00A507AA"/>
    <w:rsid w:val="00A57719"/>
    <w:rsid w:val="00A95435"/>
    <w:rsid w:val="00AA34A1"/>
    <w:rsid w:val="00AB5693"/>
    <w:rsid w:val="00AC53FA"/>
    <w:rsid w:val="00AC7E5C"/>
    <w:rsid w:val="00AF4D4F"/>
    <w:rsid w:val="00B00CDB"/>
    <w:rsid w:val="00B05957"/>
    <w:rsid w:val="00B14C42"/>
    <w:rsid w:val="00B50F8F"/>
    <w:rsid w:val="00B60222"/>
    <w:rsid w:val="00B63B44"/>
    <w:rsid w:val="00B653CD"/>
    <w:rsid w:val="00B67BB4"/>
    <w:rsid w:val="00B745F0"/>
    <w:rsid w:val="00B93A42"/>
    <w:rsid w:val="00B94F17"/>
    <w:rsid w:val="00B957D9"/>
    <w:rsid w:val="00BB34C9"/>
    <w:rsid w:val="00BC7AD7"/>
    <w:rsid w:val="00BD1910"/>
    <w:rsid w:val="00BD202A"/>
    <w:rsid w:val="00BD37D4"/>
    <w:rsid w:val="00BE4783"/>
    <w:rsid w:val="00BE5224"/>
    <w:rsid w:val="00BF105C"/>
    <w:rsid w:val="00C0733F"/>
    <w:rsid w:val="00C2182C"/>
    <w:rsid w:val="00C33904"/>
    <w:rsid w:val="00C33BC3"/>
    <w:rsid w:val="00C53E7C"/>
    <w:rsid w:val="00C6227B"/>
    <w:rsid w:val="00C65BFA"/>
    <w:rsid w:val="00C722A3"/>
    <w:rsid w:val="00C7676D"/>
    <w:rsid w:val="00CA30AE"/>
    <w:rsid w:val="00CA6822"/>
    <w:rsid w:val="00CC57B6"/>
    <w:rsid w:val="00CD1EFE"/>
    <w:rsid w:val="00CD2D69"/>
    <w:rsid w:val="00CD39F9"/>
    <w:rsid w:val="00CE154F"/>
    <w:rsid w:val="00CF6D13"/>
    <w:rsid w:val="00CF7215"/>
    <w:rsid w:val="00D0245A"/>
    <w:rsid w:val="00D02B4D"/>
    <w:rsid w:val="00D05530"/>
    <w:rsid w:val="00D068D3"/>
    <w:rsid w:val="00D10DEE"/>
    <w:rsid w:val="00D11707"/>
    <w:rsid w:val="00D11BE9"/>
    <w:rsid w:val="00D16F7D"/>
    <w:rsid w:val="00D207A2"/>
    <w:rsid w:val="00D37BD1"/>
    <w:rsid w:val="00D544F1"/>
    <w:rsid w:val="00D61C1E"/>
    <w:rsid w:val="00D6553F"/>
    <w:rsid w:val="00D74768"/>
    <w:rsid w:val="00D77C34"/>
    <w:rsid w:val="00D82B31"/>
    <w:rsid w:val="00D87251"/>
    <w:rsid w:val="00DA5F1C"/>
    <w:rsid w:val="00DF47BB"/>
    <w:rsid w:val="00E00128"/>
    <w:rsid w:val="00E0374F"/>
    <w:rsid w:val="00E04756"/>
    <w:rsid w:val="00E075A3"/>
    <w:rsid w:val="00E32914"/>
    <w:rsid w:val="00E36D04"/>
    <w:rsid w:val="00E42CEB"/>
    <w:rsid w:val="00E4465A"/>
    <w:rsid w:val="00E71DC9"/>
    <w:rsid w:val="00E81748"/>
    <w:rsid w:val="00E81FCF"/>
    <w:rsid w:val="00E87B89"/>
    <w:rsid w:val="00E933D2"/>
    <w:rsid w:val="00EA620D"/>
    <w:rsid w:val="00EB70D0"/>
    <w:rsid w:val="00EC2D6C"/>
    <w:rsid w:val="00EC356E"/>
    <w:rsid w:val="00ED70F9"/>
    <w:rsid w:val="00F1303B"/>
    <w:rsid w:val="00F21119"/>
    <w:rsid w:val="00F45F35"/>
    <w:rsid w:val="00F70C11"/>
    <w:rsid w:val="00F72D03"/>
    <w:rsid w:val="00F82EF0"/>
    <w:rsid w:val="00FA70E1"/>
    <w:rsid w:val="00FB0EDB"/>
    <w:rsid w:val="00FD25CF"/>
    <w:rsid w:val="00FD2D0D"/>
    <w:rsid w:val="00FF072A"/>
    <w:rsid w:val="00FF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7B92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chin" w:eastAsiaTheme="minorEastAsia" w:hAnsi="Cochi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2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25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D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632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2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7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74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7D0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06978"/>
    <w:pPr>
      <w:spacing w:before="120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unhideWhenUsed/>
    <w:rsid w:val="00606978"/>
    <w:pPr>
      <w:ind w:left="24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06978"/>
    <w:pPr>
      <w:ind w:left="48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06978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06978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06978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06978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06978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06978"/>
    <w:pPr>
      <w:ind w:left="1920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chin" w:eastAsiaTheme="minorEastAsia" w:hAnsi="Cochi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2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25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D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632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2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7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74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7D0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06978"/>
    <w:pPr>
      <w:spacing w:before="120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unhideWhenUsed/>
    <w:rsid w:val="00606978"/>
    <w:pPr>
      <w:ind w:left="24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06978"/>
    <w:pPr>
      <w:ind w:left="48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06978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06978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06978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06978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06978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06978"/>
    <w:pPr>
      <w:ind w:left="192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7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Write Karma</Company>
  <LinksUpToDate>false</LinksUpToDate>
  <CharactersWithSpaces>13240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Dharmil Adhyaru</dc:creator>
  <cp:lastModifiedBy>Satish</cp:lastModifiedBy>
  <cp:revision>2</cp:revision>
  <dcterms:created xsi:type="dcterms:W3CDTF">2015-11-15T06:04:00Z</dcterms:created>
  <dcterms:modified xsi:type="dcterms:W3CDTF">2015-11-15T06:04:00Z</dcterms:modified>
</cp:coreProperties>
</file>