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03B39" w14:textId="77777777" w:rsidR="00CF54BB" w:rsidRPr="008479F0" w:rsidRDefault="00CF54BB" w:rsidP="008479F0">
      <w:pPr>
        <w:jc w:val="center"/>
        <w:rPr>
          <w:rFonts w:asciiTheme="majorHAnsi" w:hAnsiTheme="majorHAnsi"/>
          <w:b/>
          <w:sz w:val="32"/>
          <w:szCs w:val="22"/>
        </w:rPr>
      </w:pPr>
      <w:bookmarkStart w:id="0" w:name="_GoBack"/>
      <w:bookmarkEnd w:id="0"/>
      <w:r w:rsidRPr="008479F0">
        <w:rPr>
          <w:rFonts w:asciiTheme="majorHAnsi" w:hAnsiTheme="majorHAnsi"/>
          <w:b/>
          <w:sz w:val="32"/>
          <w:szCs w:val="22"/>
        </w:rPr>
        <w:t>Capital Markets in India</w:t>
      </w:r>
    </w:p>
    <w:p w14:paraId="41D1365B" w14:textId="77777777" w:rsidR="008479F0" w:rsidRDefault="008479F0">
      <w:pPr>
        <w:rPr>
          <w:rFonts w:asciiTheme="majorHAnsi" w:hAnsiTheme="majorHAnsi"/>
          <w:b/>
          <w:sz w:val="22"/>
          <w:szCs w:val="22"/>
        </w:rPr>
      </w:pPr>
    </w:p>
    <w:p w14:paraId="121F0E03" w14:textId="77777777" w:rsidR="008479F0" w:rsidRDefault="008479F0" w:rsidP="008479F0">
      <w:pPr>
        <w:jc w:val="center"/>
        <w:rPr>
          <w:rFonts w:asciiTheme="majorHAnsi" w:hAnsiTheme="majorHAnsi"/>
          <w:b/>
          <w:sz w:val="22"/>
          <w:szCs w:val="22"/>
        </w:rPr>
      </w:pPr>
    </w:p>
    <w:p w14:paraId="4C695178" w14:textId="77777777" w:rsidR="008479F0" w:rsidRDefault="008479F0" w:rsidP="008479F0">
      <w:pPr>
        <w:jc w:val="center"/>
        <w:rPr>
          <w:rFonts w:asciiTheme="majorHAnsi" w:hAnsiTheme="majorHAnsi"/>
          <w:b/>
          <w:sz w:val="22"/>
          <w:szCs w:val="22"/>
        </w:rPr>
      </w:pPr>
    </w:p>
    <w:p w14:paraId="189B195B" w14:textId="77777777" w:rsidR="00CF54BB" w:rsidRDefault="00CF54BB" w:rsidP="008479F0">
      <w:pPr>
        <w:jc w:val="center"/>
        <w:rPr>
          <w:rFonts w:asciiTheme="majorHAnsi" w:hAnsiTheme="majorHAnsi"/>
          <w:b/>
          <w:sz w:val="22"/>
          <w:szCs w:val="22"/>
        </w:rPr>
      </w:pPr>
      <w:r>
        <w:rPr>
          <w:rFonts w:asciiTheme="majorHAnsi" w:hAnsiTheme="majorHAnsi"/>
          <w:b/>
          <w:sz w:val="22"/>
          <w:szCs w:val="22"/>
        </w:rPr>
        <w:t>Table of Contents</w:t>
      </w:r>
    </w:p>
    <w:p w14:paraId="64CA44B7" w14:textId="77777777" w:rsidR="00663A18" w:rsidRDefault="008479F0">
      <w:pPr>
        <w:pStyle w:val="TOC2"/>
        <w:tabs>
          <w:tab w:val="right" w:leader="dot" w:pos="8290"/>
        </w:tabs>
        <w:rPr>
          <w:rFonts w:asciiTheme="minorHAnsi" w:hAnsiTheme="minorHAnsi"/>
          <w:noProof/>
          <w:lang w:eastAsia="ja-JP"/>
        </w:rPr>
      </w:pPr>
      <w:r>
        <w:rPr>
          <w:rFonts w:asciiTheme="majorHAnsi" w:hAnsiTheme="majorHAnsi"/>
          <w:b/>
          <w:sz w:val="22"/>
          <w:szCs w:val="22"/>
        </w:rPr>
        <w:fldChar w:fldCharType="begin"/>
      </w:r>
      <w:r>
        <w:rPr>
          <w:rFonts w:asciiTheme="majorHAnsi" w:hAnsiTheme="majorHAnsi"/>
          <w:b/>
          <w:sz w:val="22"/>
          <w:szCs w:val="22"/>
        </w:rPr>
        <w:instrText xml:space="preserve"> TOC \o "1-3" </w:instrText>
      </w:r>
      <w:r>
        <w:rPr>
          <w:rFonts w:asciiTheme="majorHAnsi" w:hAnsiTheme="majorHAnsi"/>
          <w:b/>
          <w:sz w:val="22"/>
          <w:szCs w:val="22"/>
        </w:rPr>
        <w:fldChar w:fldCharType="separate"/>
      </w:r>
      <w:r w:rsidR="00663A18" w:rsidRPr="00D771FA">
        <w:rPr>
          <w:noProof/>
        </w:rPr>
        <w:t>Introduction and History</w:t>
      </w:r>
      <w:r w:rsidR="00663A18">
        <w:rPr>
          <w:noProof/>
        </w:rPr>
        <w:tab/>
      </w:r>
      <w:r w:rsidR="00663A18">
        <w:rPr>
          <w:noProof/>
        </w:rPr>
        <w:fldChar w:fldCharType="begin"/>
      </w:r>
      <w:r w:rsidR="00663A18">
        <w:rPr>
          <w:noProof/>
        </w:rPr>
        <w:instrText xml:space="preserve"> PAGEREF _Toc306840561 \h </w:instrText>
      </w:r>
      <w:r w:rsidR="00663A18">
        <w:rPr>
          <w:noProof/>
        </w:rPr>
      </w:r>
      <w:r w:rsidR="00663A18">
        <w:rPr>
          <w:noProof/>
        </w:rPr>
        <w:fldChar w:fldCharType="separate"/>
      </w:r>
      <w:r w:rsidR="00663A18">
        <w:rPr>
          <w:noProof/>
        </w:rPr>
        <w:t>2</w:t>
      </w:r>
      <w:r w:rsidR="00663A18">
        <w:rPr>
          <w:noProof/>
        </w:rPr>
        <w:fldChar w:fldCharType="end"/>
      </w:r>
    </w:p>
    <w:p w14:paraId="3EBAFEAA" w14:textId="77777777" w:rsidR="00663A18" w:rsidRDefault="00663A18">
      <w:pPr>
        <w:pStyle w:val="TOC3"/>
        <w:tabs>
          <w:tab w:val="right" w:leader="dot" w:pos="8290"/>
        </w:tabs>
        <w:rPr>
          <w:rFonts w:asciiTheme="minorHAnsi" w:hAnsiTheme="minorHAnsi"/>
          <w:noProof/>
          <w:lang w:eastAsia="ja-JP"/>
        </w:rPr>
      </w:pPr>
      <w:r w:rsidRPr="00D771FA">
        <w:rPr>
          <w:noProof/>
        </w:rPr>
        <w:t>I. Debt Markets</w:t>
      </w:r>
      <w:r>
        <w:rPr>
          <w:noProof/>
        </w:rPr>
        <w:tab/>
      </w:r>
      <w:r>
        <w:rPr>
          <w:noProof/>
        </w:rPr>
        <w:fldChar w:fldCharType="begin"/>
      </w:r>
      <w:r>
        <w:rPr>
          <w:noProof/>
        </w:rPr>
        <w:instrText xml:space="preserve"> PAGEREF _Toc306840562 \h </w:instrText>
      </w:r>
      <w:r>
        <w:rPr>
          <w:noProof/>
        </w:rPr>
      </w:r>
      <w:r>
        <w:rPr>
          <w:noProof/>
        </w:rPr>
        <w:fldChar w:fldCharType="separate"/>
      </w:r>
      <w:r>
        <w:rPr>
          <w:noProof/>
        </w:rPr>
        <w:t>3</w:t>
      </w:r>
      <w:r>
        <w:rPr>
          <w:noProof/>
        </w:rPr>
        <w:fldChar w:fldCharType="end"/>
      </w:r>
    </w:p>
    <w:p w14:paraId="26C8A5F6" w14:textId="77777777" w:rsidR="00663A18" w:rsidRDefault="00663A18">
      <w:pPr>
        <w:pStyle w:val="TOC3"/>
        <w:tabs>
          <w:tab w:val="right" w:leader="dot" w:pos="8290"/>
        </w:tabs>
        <w:rPr>
          <w:rFonts w:asciiTheme="minorHAnsi" w:hAnsiTheme="minorHAnsi"/>
          <w:noProof/>
          <w:lang w:eastAsia="ja-JP"/>
        </w:rPr>
      </w:pPr>
      <w:r w:rsidRPr="00D771FA">
        <w:rPr>
          <w:noProof/>
        </w:rPr>
        <w:t>II. Equity Markets</w:t>
      </w:r>
      <w:r>
        <w:rPr>
          <w:noProof/>
        </w:rPr>
        <w:tab/>
      </w:r>
      <w:r>
        <w:rPr>
          <w:noProof/>
        </w:rPr>
        <w:fldChar w:fldCharType="begin"/>
      </w:r>
      <w:r>
        <w:rPr>
          <w:noProof/>
        </w:rPr>
        <w:instrText xml:space="preserve"> PAGEREF _Toc306840563 \h </w:instrText>
      </w:r>
      <w:r>
        <w:rPr>
          <w:noProof/>
        </w:rPr>
      </w:r>
      <w:r>
        <w:rPr>
          <w:noProof/>
        </w:rPr>
        <w:fldChar w:fldCharType="separate"/>
      </w:r>
      <w:r>
        <w:rPr>
          <w:noProof/>
        </w:rPr>
        <w:t>7</w:t>
      </w:r>
      <w:r>
        <w:rPr>
          <w:noProof/>
        </w:rPr>
        <w:fldChar w:fldCharType="end"/>
      </w:r>
    </w:p>
    <w:p w14:paraId="7A939EE9" w14:textId="77777777" w:rsidR="00663A18" w:rsidRDefault="00663A18">
      <w:pPr>
        <w:pStyle w:val="TOC3"/>
        <w:tabs>
          <w:tab w:val="right" w:leader="dot" w:pos="8290"/>
        </w:tabs>
        <w:rPr>
          <w:rFonts w:asciiTheme="minorHAnsi" w:hAnsiTheme="minorHAnsi"/>
          <w:noProof/>
          <w:lang w:eastAsia="ja-JP"/>
        </w:rPr>
      </w:pPr>
      <w:r w:rsidRPr="00D771FA">
        <w:rPr>
          <w:noProof/>
        </w:rPr>
        <w:t>III. Derivatives Markets</w:t>
      </w:r>
      <w:r>
        <w:rPr>
          <w:noProof/>
        </w:rPr>
        <w:tab/>
      </w:r>
      <w:r>
        <w:rPr>
          <w:noProof/>
        </w:rPr>
        <w:fldChar w:fldCharType="begin"/>
      </w:r>
      <w:r>
        <w:rPr>
          <w:noProof/>
        </w:rPr>
        <w:instrText xml:space="preserve"> PAGEREF _Toc306840564 \h </w:instrText>
      </w:r>
      <w:r>
        <w:rPr>
          <w:noProof/>
        </w:rPr>
      </w:r>
      <w:r>
        <w:rPr>
          <w:noProof/>
        </w:rPr>
        <w:fldChar w:fldCharType="separate"/>
      </w:r>
      <w:r>
        <w:rPr>
          <w:noProof/>
        </w:rPr>
        <w:t>11</w:t>
      </w:r>
      <w:r>
        <w:rPr>
          <w:noProof/>
        </w:rPr>
        <w:fldChar w:fldCharType="end"/>
      </w:r>
    </w:p>
    <w:p w14:paraId="0C445AF7" w14:textId="77777777" w:rsidR="00663A18" w:rsidRDefault="00663A18">
      <w:pPr>
        <w:pStyle w:val="TOC3"/>
        <w:tabs>
          <w:tab w:val="right" w:leader="dot" w:pos="8290"/>
        </w:tabs>
        <w:rPr>
          <w:rFonts w:asciiTheme="minorHAnsi" w:hAnsiTheme="minorHAnsi"/>
          <w:noProof/>
          <w:lang w:eastAsia="ja-JP"/>
        </w:rPr>
      </w:pPr>
      <w:r w:rsidRPr="00D771FA">
        <w:rPr>
          <w:noProof/>
        </w:rPr>
        <w:t>IV. Mutual Funds</w:t>
      </w:r>
      <w:r>
        <w:rPr>
          <w:noProof/>
        </w:rPr>
        <w:tab/>
      </w:r>
      <w:r>
        <w:rPr>
          <w:noProof/>
        </w:rPr>
        <w:fldChar w:fldCharType="begin"/>
      </w:r>
      <w:r>
        <w:rPr>
          <w:noProof/>
        </w:rPr>
        <w:instrText xml:space="preserve"> PAGEREF _Toc306840565 \h </w:instrText>
      </w:r>
      <w:r>
        <w:rPr>
          <w:noProof/>
        </w:rPr>
      </w:r>
      <w:r>
        <w:rPr>
          <w:noProof/>
        </w:rPr>
        <w:fldChar w:fldCharType="separate"/>
      </w:r>
      <w:r>
        <w:rPr>
          <w:noProof/>
        </w:rPr>
        <w:t>13</w:t>
      </w:r>
      <w:r>
        <w:rPr>
          <w:noProof/>
        </w:rPr>
        <w:fldChar w:fldCharType="end"/>
      </w:r>
    </w:p>
    <w:p w14:paraId="35627532" w14:textId="77777777" w:rsidR="00663A18" w:rsidRDefault="00663A18">
      <w:pPr>
        <w:pStyle w:val="TOC2"/>
        <w:tabs>
          <w:tab w:val="right" w:leader="dot" w:pos="8290"/>
        </w:tabs>
        <w:rPr>
          <w:rFonts w:asciiTheme="minorHAnsi" w:hAnsiTheme="minorHAnsi"/>
          <w:noProof/>
          <w:lang w:eastAsia="ja-JP"/>
        </w:rPr>
      </w:pPr>
      <w:r w:rsidRPr="00D771FA">
        <w:rPr>
          <w:noProof/>
        </w:rPr>
        <w:t>Appendices</w:t>
      </w:r>
      <w:r>
        <w:rPr>
          <w:noProof/>
        </w:rPr>
        <w:tab/>
      </w:r>
      <w:r>
        <w:rPr>
          <w:noProof/>
        </w:rPr>
        <w:fldChar w:fldCharType="begin"/>
      </w:r>
      <w:r>
        <w:rPr>
          <w:noProof/>
        </w:rPr>
        <w:instrText xml:space="preserve"> PAGEREF _Toc306840566 \h </w:instrText>
      </w:r>
      <w:r>
        <w:rPr>
          <w:noProof/>
        </w:rPr>
      </w:r>
      <w:r>
        <w:rPr>
          <w:noProof/>
        </w:rPr>
        <w:fldChar w:fldCharType="separate"/>
      </w:r>
      <w:r>
        <w:rPr>
          <w:noProof/>
        </w:rPr>
        <w:t>14</w:t>
      </w:r>
      <w:r>
        <w:rPr>
          <w:noProof/>
        </w:rPr>
        <w:fldChar w:fldCharType="end"/>
      </w:r>
    </w:p>
    <w:p w14:paraId="1D36D33C" w14:textId="77777777" w:rsidR="00663A18" w:rsidRDefault="00663A18">
      <w:pPr>
        <w:pStyle w:val="TOC2"/>
        <w:tabs>
          <w:tab w:val="right" w:leader="dot" w:pos="8290"/>
        </w:tabs>
        <w:rPr>
          <w:rFonts w:asciiTheme="minorHAnsi" w:hAnsiTheme="minorHAnsi"/>
          <w:noProof/>
          <w:lang w:eastAsia="ja-JP"/>
        </w:rPr>
      </w:pPr>
      <w:r w:rsidRPr="00D771FA">
        <w:rPr>
          <w:noProof/>
        </w:rPr>
        <w:t>Sources</w:t>
      </w:r>
      <w:r>
        <w:rPr>
          <w:noProof/>
        </w:rPr>
        <w:tab/>
      </w:r>
      <w:r>
        <w:rPr>
          <w:noProof/>
        </w:rPr>
        <w:fldChar w:fldCharType="begin"/>
      </w:r>
      <w:r>
        <w:rPr>
          <w:noProof/>
        </w:rPr>
        <w:instrText xml:space="preserve"> PAGEREF _Toc306840567 \h </w:instrText>
      </w:r>
      <w:r>
        <w:rPr>
          <w:noProof/>
        </w:rPr>
      </w:r>
      <w:r>
        <w:rPr>
          <w:noProof/>
        </w:rPr>
        <w:fldChar w:fldCharType="separate"/>
      </w:r>
      <w:r>
        <w:rPr>
          <w:noProof/>
        </w:rPr>
        <w:t>23</w:t>
      </w:r>
      <w:r>
        <w:rPr>
          <w:noProof/>
        </w:rPr>
        <w:fldChar w:fldCharType="end"/>
      </w:r>
    </w:p>
    <w:p w14:paraId="51F93E6E" w14:textId="112864B8" w:rsidR="003728D5" w:rsidRDefault="008479F0">
      <w:pPr>
        <w:rPr>
          <w:rFonts w:asciiTheme="majorHAnsi" w:hAnsiTheme="majorHAnsi"/>
          <w:b/>
          <w:sz w:val="22"/>
          <w:szCs w:val="22"/>
        </w:rPr>
      </w:pPr>
      <w:r>
        <w:rPr>
          <w:rFonts w:asciiTheme="majorHAnsi" w:hAnsiTheme="majorHAnsi"/>
          <w:b/>
          <w:sz w:val="22"/>
          <w:szCs w:val="22"/>
        </w:rPr>
        <w:fldChar w:fldCharType="end"/>
      </w:r>
      <w:r w:rsidR="003728D5">
        <w:rPr>
          <w:rFonts w:asciiTheme="majorHAnsi" w:hAnsiTheme="majorHAnsi"/>
          <w:b/>
          <w:sz w:val="22"/>
          <w:szCs w:val="22"/>
        </w:rPr>
        <w:br w:type="page"/>
      </w:r>
    </w:p>
    <w:p w14:paraId="07B15580" w14:textId="0587D008" w:rsidR="0013199A" w:rsidRPr="003728D5" w:rsidRDefault="00663A18" w:rsidP="003728D5">
      <w:pPr>
        <w:pStyle w:val="Heading2"/>
        <w:jc w:val="center"/>
        <w:rPr>
          <w:color w:val="auto"/>
        </w:rPr>
      </w:pPr>
      <w:bookmarkStart w:id="1" w:name="_Toc306840561"/>
      <w:r>
        <w:rPr>
          <w:color w:val="auto"/>
        </w:rPr>
        <w:lastRenderedPageBreak/>
        <w:t>Introduction and History</w:t>
      </w:r>
      <w:bookmarkEnd w:id="1"/>
    </w:p>
    <w:p w14:paraId="29733559" w14:textId="703366E7" w:rsidR="0040543B" w:rsidRDefault="0040543B" w:rsidP="003728D5">
      <w:pPr>
        <w:spacing w:before="120" w:after="200" w:line="276" w:lineRule="auto"/>
        <w:rPr>
          <w:rFonts w:asciiTheme="majorHAnsi" w:hAnsiTheme="majorHAnsi"/>
          <w:sz w:val="22"/>
          <w:szCs w:val="22"/>
        </w:rPr>
      </w:pPr>
      <w:r>
        <w:rPr>
          <w:rFonts w:asciiTheme="majorHAnsi" w:hAnsiTheme="majorHAnsi"/>
          <w:sz w:val="22"/>
          <w:szCs w:val="22"/>
        </w:rPr>
        <w:t>The</w:t>
      </w:r>
      <w:r w:rsidR="004E2DB6">
        <w:rPr>
          <w:rFonts w:asciiTheme="majorHAnsi" w:hAnsiTheme="majorHAnsi"/>
          <w:sz w:val="22"/>
          <w:szCs w:val="22"/>
        </w:rPr>
        <w:t xml:space="preserve"> Indian capital markets, as was the case with the rest of the economy, were direct beneficiaries of the New Economic Policy (NEP) of 1991 and the subsequent unshackling of the Indian economic and financial </w:t>
      </w:r>
      <w:r w:rsidR="00E231FD">
        <w:rPr>
          <w:rFonts w:asciiTheme="majorHAnsi" w:hAnsiTheme="majorHAnsi"/>
          <w:sz w:val="22"/>
          <w:szCs w:val="22"/>
        </w:rPr>
        <w:t xml:space="preserve">system through the last two-and-a-half decades. There have been a number of reforms instituted in the capital markets from 1991 until now, the main </w:t>
      </w:r>
      <w:r w:rsidR="00E80995">
        <w:rPr>
          <w:rFonts w:asciiTheme="majorHAnsi" w:hAnsiTheme="majorHAnsi"/>
          <w:sz w:val="22"/>
          <w:szCs w:val="22"/>
        </w:rPr>
        <w:t>among</w:t>
      </w:r>
      <w:r w:rsidR="00E231FD">
        <w:rPr>
          <w:rFonts w:asciiTheme="majorHAnsi" w:hAnsiTheme="majorHAnsi"/>
          <w:sz w:val="22"/>
          <w:szCs w:val="22"/>
        </w:rPr>
        <w:t xml:space="preserve"> which are:</w:t>
      </w:r>
    </w:p>
    <w:p w14:paraId="5AD4E4C0" w14:textId="641F1350" w:rsidR="00E231FD" w:rsidRDefault="00E46483" w:rsidP="000A5701">
      <w:pPr>
        <w:pStyle w:val="ListParagraph"/>
        <w:numPr>
          <w:ilvl w:val="0"/>
          <w:numId w:val="5"/>
        </w:numPr>
        <w:spacing w:after="200" w:line="276" w:lineRule="auto"/>
        <w:rPr>
          <w:rFonts w:asciiTheme="majorHAnsi" w:hAnsiTheme="majorHAnsi"/>
          <w:sz w:val="22"/>
          <w:szCs w:val="22"/>
        </w:rPr>
      </w:pPr>
      <w:r w:rsidRPr="000A5701">
        <w:rPr>
          <w:rFonts w:asciiTheme="majorHAnsi" w:hAnsiTheme="majorHAnsi"/>
          <w:sz w:val="22"/>
          <w:szCs w:val="22"/>
        </w:rPr>
        <w:t xml:space="preserve">Establishing </w:t>
      </w:r>
      <w:r w:rsidR="00327A07">
        <w:rPr>
          <w:rFonts w:asciiTheme="majorHAnsi" w:hAnsiTheme="majorHAnsi"/>
          <w:sz w:val="22"/>
          <w:szCs w:val="22"/>
        </w:rPr>
        <w:t>the</w:t>
      </w:r>
      <w:r w:rsidR="000A5701" w:rsidRPr="000A5701">
        <w:rPr>
          <w:rFonts w:asciiTheme="majorHAnsi" w:hAnsiTheme="majorHAnsi"/>
          <w:sz w:val="22"/>
          <w:szCs w:val="22"/>
        </w:rPr>
        <w:t xml:space="preserve"> market regulator: The onus and responsibilities of monitoring the securities market in India were transferred to the Securities and Exchange Board of India (SEBI), which was established as an independent statutory authority for regulating the stock exchanges and for supervising the major players (including brokers, underwriters, merchant bankers and mutual funds).</w:t>
      </w:r>
    </w:p>
    <w:p w14:paraId="5BDF2552" w14:textId="1DAA4185" w:rsidR="00812D55" w:rsidRPr="000A5701" w:rsidRDefault="00812D55" w:rsidP="000A5701">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 xml:space="preserve">Creation of a National Stock Exchange (NSE): </w:t>
      </w:r>
      <w:r w:rsidR="007E3E1D">
        <w:rPr>
          <w:rFonts w:asciiTheme="majorHAnsi" w:hAnsiTheme="majorHAnsi"/>
          <w:sz w:val="22"/>
          <w:szCs w:val="22"/>
        </w:rPr>
        <w:t>The NSE was created in 1992, as the first demutualized electronic exchange in India. Prior to this, all stock trades were handled in physical form by the Bombay Stock Exchange (BSE)</w:t>
      </w:r>
      <w:r w:rsidR="00410270">
        <w:rPr>
          <w:rFonts w:asciiTheme="majorHAnsi" w:hAnsiTheme="majorHAnsi"/>
          <w:sz w:val="22"/>
          <w:szCs w:val="22"/>
        </w:rPr>
        <w:t>, which was own</w:t>
      </w:r>
      <w:r w:rsidR="0058696A">
        <w:rPr>
          <w:rFonts w:asciiTheme="majorHAnsi" w:hAnsiTheme="majorHAnsi"/>
          <w:sz w:val="22"/>
          <w:szCs w:val="22"/>
        </w:rPr>
        <w:t>ed, controlled and managed by brokers</w:t>
      </w:r>
      <w:r w:rsidR="007E3E1D">
        <w:rPr>
          <w:rFonts w:asciiTheme="majorHAnsi" w:hAnsiTheme="majorHAnsi"/>
          <w:sz w:val="22"/>
          <w:szCs w:val="22"/>
        </w:rPr>
        <w:t xml:space="preserve">. The NSE </w:t>
      </w:r>
      <w:r w:rsidR="0058696A">
        <w:rPr>
          <w:rFonts w:asciiTheme="majorHAnsi" w:hAnsiTheme="majorHAnsi"/>
          <w:sz w:val="22"/>
          <w:szCs w:val="22"/>
        </w:rPr>
        <w:t xml:space="preserve">also </w:t>
      </w:r>
      <w:r w:rsidR="007E3E1D">
        <w:rPr>
          <w:rFonts w:asciiTheme="majorHAnsi" w:hAnsiTheme="majorHAnsi"/>
          <w:sz w:val="22"/>
          <w:szCs w:val="22"/>
        </w:rPr>
        <w:t xml:space="preserve">provided </w:t>
      </w:r>
      <w:r w:rsidR="00410270">
        <w:rPr>
          <w:rFonts w:asciiTheme="majorHAnsi" w:hAnsiTheme="majorHAnsi"/>
          <w:sz w:val="22"/>
          <w:szCs w:val="22"/>
        </w:rPr>
        <w:t xml:space="preserve">the first fully-automatic, screen-based electronic trading system </w:t>
      </w:r>
      <w:r w:rsidR="0058696A">
        <w:rPr>
          <w:rFonts w:asciiTheme="majorHAnsi" w:hAnsiTheme="majorHAnsi"/>
          <w:sz w:val="22"/>
          <w:szCs w:val="22"/>
        </w:rPr>
        <w:t xml:space="preserve">to investors across the country, and facilitated the introduction of the first depositories in India </w:t>
      </w:r>
      <w:r w:rsidR="00B835F2">
        <w:rPr>
          <w:rFonts w:asciiTheme="majorHAnsi" w:hAnsiTheme="majorHAnsi"/>
          <w:sz w:val="22"/>
          <w:szCs w:val="22"/>
        </w:rPr>
        <w:t xml:space="preserve">– </w:t>
      </w:r>
      <w:r w:rsidR="00427AF2">
        <w:rPr>
          <w:rFonts w:asciiTheme="majorHAnsi" w:hAnsiTheme="majorHAnsi"/>
          <w:sz w:val="22"/>
          <w:szCs w:val="22"/>
        </w:rPr>
        <w:t>National Securities Depository Limited (</w:t>
      </w:r>
      <w:r w:rsidR="00B835F2">
        <w:rPr>
          <w:rFonts w:asciiTheme="majorHAnsi" w:hAnsiTheme="majorHAnsi"/>
          <w:sz w:val="22"/>
          <w:szCs w:val="22"/>
        </w:rPr>
        <w:t>NSDL</w:t>
      </w:r>
      <w:r w:rsidR="00427AF2">
        <w:rPr>
          <w:rFonts w:asciiTheme="majorHAnsi" w:hAnsiTheme="majorHAnsi"/>
          <w:sz w:val="22"/>
          <w:szCs w:val="22"/>
        </w:rPr>
        <w:t>)</w:t>
      </w:r>
      <w:r w:rsidR="00B835F2">
        <w:rPr>
          <w:rFonts w:asciiTheme="majorHAnsi" w:hAnsiTheme="majorHAnsi"/>
          <w:sz w:val="22"/>
          <w:szCs w:val="22"/>
        </w:rPr>
        <w:t xml:space="preserve"> and </w:t>
      </w:r>
      <w:r w:rsidR="00427AF2">
        <w:rPr>
          <w:rFonts w:asciiTheme="majorHAnsi" w:hAnsiTheme="majorHAnsi"/>
          <w:sz w:val="22"/>
          <w:szCs w:val="22"/>
        </w:rPr>
        <w:t>Central Depository Services Limited (</w:t>
      </w:r>
      <w:r w:rsidR="00B835F2">
        <w:rPr>
          <w:rFonts w:asciiTheme="majorHAnsi" w:hAnsiTheme="majorHAnsi"/>
          <w:sz w:val="22"/>
          <w:szCs w:val="22"/>
        </w:rPr>
        <w:t>CDSL</w:t>
      </w:r>
      <w:r w:rsidR="00427AF2">
        <w:rPr>
          <w:rFonts w:asciiTheme="majorHAnsi" w:hAnsiTheme="majorHAnsi"/>
          <w:sz w:val="22"/>
          <w:szCs w:val="22"/>
        </w:rPr>
        <w:t>)</w:t>
      </w:r>
      <w:r w:rsidR="00B835F2">
        <w:rPr>
          <w:rFonts w:asciiTheme="majorHAnsi" w:hAnsiTheme="majorHAnsi"/>
          <w:sz w:val="22"/>
          <w:szCs w:val="22"/>
        </w:rPr>
        <w:t>.</w:t>
      </w:r>
      <w:r w:rsidR="00410270">
        <w:rPr>
          <w:rFonts w:asciiTheme="majorHAnsi" w:hAnsiTheme="majorHAnsi"/>
          <w:sz w:val="22"/>
          <w:szCs w:val="22"/>
        </w:rPr>
        <w:t xml:space="preserve"> </w:t>
      </w:r>
    </w:p>
    <w:p w14:paraId="15C0C141" w14:textId="0B207898" w:rsidR="000A5701" w:rsidRDefault="00345FD5" w:rsidP="000A5701">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 xml:space="preserve">Setting-up a national clearing and settlement house: </w:t>
      </w:r>
      <w:r w:rsidR="00506A8A">
        <w:rPr>
          <w:rFonts w:asciiTheme="majorHAnsi" w:hAnsiTheme="majorHAnsi"/>
          <w:sz w:val="22"/>
          <w:szCs w:val="22"/>
        </w:rPr>
        <w:t>To reduce counterparty risks in the capital markets, NSE setup the Clearing Corporation of India Limited (CCIL), whi</w:t>
      </w:r>
      <w:r w:rsidR="00232DBC">
        <w:rPr>
          <w:rFonts w:asciiTheme="majorHAnsi" w:hAnsiTheme="majorHAnsi"/>
          <w:sz w:val="22"/>
          <w:szCs w:val="22"/>
        </w:rPr>
        <w:t xml:space="preserve">ch commenced operations in 1996, </w:t>
      </w:r>
      <w:r w:rsidR="00232DBC" w:rsidRPr="00082594">
        <w:rPr>
          <w:rFonts w:asciiTheme="majorHAnsi" w:hAnsiTheme="majorHAnsi"/>
          <w:sz w:val="22"/>
          <w:szCs w:val="22"/>
        </w:rPr>
        <w:t>with twin objectives of improving the efficiency in the transaction process and to provide a guaranteed settlement facility for transactions in the government securities, money and foreign exchange markets.</w:t>
      </w:r>
    </w:p>
    <w:p w14:paraId="0E2F7F91" w14:textId="7BCB7A74" w:rsidR="00506A8A" w:rsidRDefault="007A0E0A" w:rsidP="000A5701">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 xml:space="preserve">Rationalization of the trading cycle: Prior to the NEP, the trading cycle for stocks used to </w:t>
      </w:r>
      <w:r w:rsidR="003059FE">
        <w:rPr>
          <w:rFonts w:asciiTheme="majorHAnsi" w:hAnsiTheme="majorHAnsi"/>
          <w:sz w:val="22"/>
          <w:szCs w:val="22"/>
        </w:rPr>
        <w:t>take 14 – 30 days and the settlem</w:t>
      </w:r>
      <w:r w:rsidR="00393EEF">
        <w:rPr>
          <w:rFonts w:asciiTheme="majorHAnsi" w:hAnsiTheme="majorHAnsi"/>
          <w:sz w:val="22"/>
          <w:szCs w:val="22"/>
        </w:rPr>
        <w:t>ent took another fortnight. The trading cycle</w:t>
      </w:r>
      <w:r w:rsidR="003059FE">
        <w:rPr>
          <w:rFonts w:asciiTheme="majorHAnsi" w:hAnsiTheme="majorHAnsi"/>
          <w:sz w:val="22"/>
          <w:szCs w:val="22"/>
        </w:rPr>
        <w:t xml:space="preserve"> was reduced to one week through the NEP</w:t>
      </w:r>
      <w:r w:rsidR="00393EEF">
        <w:rPr>
          <w:rFonts w:asciiTheme="majorHAnsi" w:hAnsiTheme="majorHAnsi"/>
          <w:sz w:val="22"/>
          <w:szCs w:val="22"/>
        </w:rPr>
        <w:t>. I</w:t>
      </w:r>
      <w:r w:rsidR="003059FE">
        <w:rPr>
          <w:rFonts w:asciiTheme="majorHAnsi" w:hAnsiTheme="majorHAnsi"/>
          <w:sz w:val="22"/>
          <w:szCs w:val="22"/>
        </w:rPr>
        <w:t xml:space="preserve">n 2001, rolling settlements were introduced, reducing </w:t>
      </w:r>
      <w:r w:rsidR="00393EEF">
        <w:rPr>
          <w:rFonts w:asciiTheme="majorHAnsi" w:hAnsiTheme="majorHAnsi"/>
          <w:sz w:val="22"/>
          <w:szCs w:val="22"/>
        </w:rPr>
        <w:t>the settlement period first to T+5 and then to T+3 days. From 2003, the settlement cycle stands at T+2 days.</w:t>
      </w:r>
    </w:p>
    <w:p w14:paraId="5EC08C85" w14:textId="730F2B0B" w:rsidR="00CD7CE6" w:rsidRDefault="00DB574E" w:rsidP="000A5701">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 xml:space="preserve">Staggered launches of derivative products: </w:t>
      </w:r>
      <w:r w:rsidR="00F43C19">
        <w:rPr>
          <w:rFonts w:asciiTheme="majorHAnsi" w:hAnsiTheme="majorHAnsi"/>
          <w:sz w:val="22"/>
          <w:szCs w:val="22"/>
        </w:rPr>
        <w:t xml:space="preserve">Before 1995, the capital markets in India banned all trading in options on securities. However, in 1995, hedging, speculation and arbitrage activities were introduced into the legal framework, and trading in equity derivatives took off in </w:t>
      </w:r>
      <w:r w:rsidR="00676C48">
        <w:rPr>
          <w:rFonts w:asciiTheme="majorHAnsi" w:hAnsiTheme="majorHAnsi"/>
          <w:sz w:val="22"/>
          <w:szCs w:val="22"/>
        </w:rPr>
        <w:t xml:space="preserve">the year </w:t>
      </w:r>
      <w:r w:rsidR="00F43C19">
        <w:rPr>
          <w:rFonts w:asciiTheme="majorHAnsi" w:hAnsiTheme="majorHAnsi"/>
          <w:sz w:val="22"/>
          <w:szCs w:val="22"/>
        </w:rPr>
        <w:t>2000</w:t>
      </w:r>
      <w:r w:rsidR="00676C48">
        <w:rPr>
          <w:rFonts w:asciiTheme="majorHAnsi" w:hAnsiTheme="majorHAnsi"/>
          <w:sz w:val="22"/>
          <w:szCs w:val="22"/>
        </w:rPr>
        <w:t>,</w:t>
      </w:r>
      <w:r w:rsidR="00F43C19">
        <w:rPr>
          <w:rFonts w:asciiTheme="majorHAnsi" w:hAnsiTheme="majorHAnsi"/>
          <w:sz w:val="22"/>
          <w:szCs w:val="22"/>
        </w:rPr>
        <w:t xml:space="preserve"> </w:t>
      </w:r>
      <w:r w:rsidR="00676C48">
        <w:rPr>
          <w:rFonts w:asciiTheme="majorHAnsi" w:hAnsiTheme="majorHAnsi"/>
          <w:sz w:val="22"/>
          <w:szCs w:val="22"/>
        </w:rPr>
        <w:t xml:space="preserve">with the first index futures being introduced by the NSE. In 2008, the NSE introduced trading in currency futures (the USD-INR pair was the first one allowed), and, in </w:t>
      </w:r>
      <w:r w:rsidR="00160E28">
        <w:rPr>
          <w:rFonts w:asciiTheme="majorHAnsi" w:hAnsiTheme="majorHAnsi"/>
          <w:sz w:val="22"/>
          <w:szCs w:val="22"/>
        </w:rPr>
        <w:t>2009, interest rate futures were launched in the Indian capital markets.</w:t>
      </w:r>
    </w:p>
    <w:p w14:paraId="78FA7FBC" w14:textId="42F5945E" w:rsidR="009A2FC9" w:rsidRPr="009A2FC9" w:rsidRDefault="003A3C15" w:rsidP="009A2FC9">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Bringing Indian stock issues to global markets: The NEP and subsequent economic reforms also</w:t>
      </w:r>
      <w:r w:rsidR="00DB7C1F">
        <w:rPr>
          <w:rFonts w:asciiTheme="majorHAnsi" w:hAnsiTheme="majorHAnsi"/>
          <w:sz w:val="22"/>
          <w:szCs w:val="22"/>
        </w:rPr>
        <w:t xml:space="preserve"> permitted Indian companies to raise foreign capital through the issue of ADRs, GDRs, FCCBs and ECBs. Additionally, FIIs were allowed, for the first time, to invest </w:t>
      </w:r>
      <w:r w:rsidR="009155C5">
        <w:rPr>
          <w:rFonts w:asciiTheme="majorHAnsi" w:hAnsiTheme="majorHAnsi"/>
          <w:sz w:val="22"/>
          <w:szCs w:val="22"/>
        </w:rPr>
        <w:t xml:space="preserve">in all the instruments in the capital markets. Lastly, Indian stock exchanges were allowed to setup trading </w:t>
      </w:r>
      <w:r w:rsidR="009A2FC9">
        <w:rPr>
          <w:rFonts w:asciiTheme="majorHAnsi" w:hAnsiTheme="majorHAnsi"/>
          <w:sz w:val="22"/>
          <w:szCs w:val="22"/>
        </w:rPr>
        <w:t>platforms in other countries.</w:t>
      </w:r>
    </w:p>
    <w:p w14:paraId="3D8E24FC" w14:textId="77777777" w:rsidR="009A2FC9" w:rsidRDefault="009A2FC9">
      <w:pPr>
        <w:rPr>
          <w:rFonts w:asciiTheme="majorHAnsi" w:hAnsiTheme="majorHAnsi"/>
          <w:b/>
          <w:sz w:val="22"/>
          <w:szCs w:val="22"/>
        </w:rPr>
      </w:pPr>
      <w:r>
        <w:rPr>
          <w:rFonts w:asciiTheme="majorHAnsi" w:hAnsiTheme="majorHAnsi"/>
          <w:b/>
          <w:sz w:val="22"/>
          <w:szCs w:val="22"/>
        </w:rPr>
        <w:br w:type="page"/>
      </w:r>
    </w:p>
    <w:p w14:paraId="133801D7" w14:textId="6249A00E" w:rsidR="0013199A" w:rsidRPr="006140E7" w:rsidRDefault="0013199A" w:rsidP="006140E7">
      <w:pPr>
        <w:pStyle w:val="Heading3"/>
        <w:rPr>
          <w:color w:val="auto"/>
        </w:rPr>
      </w:pPr>
      <w:bookmarkStart w:id="2" w:name="_Toc306840562"/>
      <w:r w:rsidRPr="006140E7">
        <w:rPr>
          <w:color w:val="auto"/>
        </w:rPr>
        <w:lastRenderedPageBreak/>
        <w:t>I. Debt Markets</w:t>
      </w:r>
      <w:bookmarkEnd w:id="2"/>
    </w:p>
    <w:p w14:paraId="7EE65D20" w14:textId="77777777" w:rsidR="005360B6" w:rsidRDefault="00AF370A" w:rsidP="006140E7">
      <w:pPr>
        <w:spacing w:before="80" w:after="200" w:line="276" w:lineRule="auto"/>
        <w:rPr>
          <w:rFonts w:asciiTheme="majorHAnsi" w:hAnsiTheme="majorHAnsi"/>
          <w:sz w:val="22"/>
          <w:szCs w:val="22"/>
        </w:rPr>
      </w:pPr>
      <w:r>
        <w:rPr>
          <w:rFonts w:asciiTheme="majorHAnsi" w:hAnsiTheme="majorHAnsi"/>
          <w:sz w:val="22"/>
          <w:szCs w:val="22"/>
        </w:rPr>
        <w:t>Prior to the reforms introduced</w:t>
      </w:r>
      <w:r w:rsidR="005360B6">
        <w:rPr>
          <w:rFonts w:asciiTheme="majorHAnsi" w:hAnsiTheme="majorHAnsi"/>
          <w:sz w:val="22"/>
          <w:szCs w:val="22"/>
        </w:rPr>
        <w:t xml:space="preserve"> by the NEP in 1991, the Indian debt markets possessed a number of negative attributes, namely: a) low liquidity, b) </w:t>
      </w:r>
      <w:r w:rsidR="00617650">
        <w:rPr>
          <w:rFonts w:asciiTheme="majorHAnsi" w:hAnsiTheme="majorHAnsi"/>
          <w:sz w:val="22"/>
          <w:szCs w:val="22"/>
        </w:rPr>
        <w:t xml:space="preserve">underdeveloped markets (not enough participants), c) pricing (and issue) controls, d) near-monopoly of state-run </w:t>
      </w:r>
      <w:r w:rsidR="004B7FE3">
        <w:rPr>
          <w:rFonts w:asciiTheme="majorHAnsi" w:hAnsiTheme="majorHAnsi"/>
          <w:sz w:val="22"/>
          <w:szCs w:val="22"/>
        </w:rPr>
        <w:t>participants and insurmountable barriers to entry for private players, and e) high transaction costs (primarily because of all the factors above).</w:t>
      </w:r>
    </w:p>
    <w:p w14:paraId="668F8397" w14:textId="14490937" w:rsidR="005360B6" w:rsidRDefault="0044512A" w:rsidP="00BC7AD7">
      <w:pPr>
        <w:spacing w:after="200" w:line="276" w:lineRule="auto"/>
        <w:rPr>
          <w:rFonts w:asciiTheme="majorHAnsi" w:hAnsiTheme="majorHAnsi"/>
          <w:sz w:val="22"/>
          <w:szCs w:val="22"/>
        </w:rPr>
      </w:pPr>
      <w:r>
        <w:rPr>
          <w:rFonts w:asciiTheme="majorHAnsi" w:hAnsiTheme="majorHAnsi"/>
          <w:sz w:val="22"/>
          <w:szCs w:val="22"/>
        </w:rPr>
        <w:t xml:space="preserve">However, since the early 1990s, the Indian debt markets </w:t>
      </w:r>
      <w:r w:rsidR="00DF132C">
        <w:rPr>
          <w:rFonts w:asciiTheme="majorHAnsi" w:hAnsiTheme="majorHAnsi"/>
          <w:sz w:val="22"/>
          <w:szCs w:val="22"/>
        </w:rPr>
        <w:t xml:space="preserve">have reaped the rewards of financial reforms and increased significantly in trading volumes, </w:t>
      </w:r>
      <w:r w:rsidR="00384995">
        <w:rPr>
          <w:rFonts w:asciiTheme="majorHAnsi" w:hAnsiTheme="majorHAnsi"/>
          <w:sz w:val="22"/>
          <w:szCs w:val="22"/>
        </w:rPr>
        <w:t xml:space="preserve">liquidity, </w:t>
      </w:r>
      <w:r w:rsidR="00DF132C">
        <w:rPr>
          <w:rFonts w:asciiTheme="majorHAnsi" w:hAnsiTheme="majorHAnsi"/>
          <w:sz w:val="22"/>
          <w:szCs w:val="22"/>
        </w:rPr>
        <w:t>number of participants</w:t>
      </w:r>
      <w:r w:rsidR="00384995">
        <w:rPr>
          <w:rFonts w:asciiTheme="majorHAnsi" w:hAnsiTheme="majorHAnsi"/>
          <w:sz w:val="22"/>
          <w:szCs w:val="22"/>
        </w:rPr>
        <w:t>,</w:t>
      </w:r>
      <w:r w:rsidR="00DF132C">
        <w:rPr>
          <w:rFonts w:asciiTheme="majorHAnsi" w:hAnsiTheme="majorHAnsi"/>
          <w:sz w:val="22"/>
          <w:szCs w:val="22"/>
        </w:rPr>
        <w:t xml:space="preserve"> and in the types of </w:t>
      </w:r>
      <w:r w:rsidR="00384995">
        <w:rPr>
          <w:rFonts w:asciiTheme="majorHAnsi" w:hAnsiTheme="majorHAnsi"/>
          <w:sz w:val="22"/>
          <w:szCs w:val="22"/>
        </w:rPr>
        <w:t xml:space="preserve">issued and traded. Additionally, market information and transparency have increased </w:t>
      </w:r>
      <w:r w:rsidR="002F2874">
        <w:rPr>
          <w:rFonts w:asciiTheme="majorHAnsi" w:hAnsiTheme="majorHAnsi"/>
          <w:sz w:val="22"/>
          <w:szCs w:val="22"/>
        </w:rPr>
        <w:t>exponentially, allowing participants with trading platforms on par with any other developed debt markets.</w:t>
      </w:r>
    </w:p>
    <w:p w14:paraId="38DD9EDA" w14:textId="20EE7E53" w:rsidR="00CD3AD5" w:rsidRDefault="00CD3AD5" w:rsidP="00BC7AD7">
      <w:pPr>
        <w:spacing w:after="200" w:line="276" w:lineRule="auto"/>
        <w:rPr>
          <w:rFonts w:asciiTheme="majorHAnsi" w:hAnsiTheme="majorHAnsi"/>
          <w:sz w:val="22"/>
          <w:szCs w:val="22"/>
        </w:rPr>
      </w:pPr>
      <w:r>
        <w:rPr>
          <w:rFonts w:asciiTheme="majorHAnsi" w:hAnsiTheme="majorHAnsi"/>
          <w:noProof/>
          <w:sz w:val="22"/>
          <w:szCs w:val="22"/>
        </w:rPr>
        <w:drawing>
          <wp:inline distT="0" distB="0" distL="0" distR="0" wp14:anchorId="7870FD8E" wp14:editId="16B83671">
            <wp:extent cx="5270500" cy="3074670"/>
            <wp:effectExtent l="5715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D07E6F1" w14:textId="271842A1" w:rsidR="00784AD2" w:rsidRDefault="00784AD2" w:rsidP="00BC7AD7">
      <w:pPr>
        <w:spacing w:after="200" w:line="276" w:lineRule="auto"/>
        <w:rPr>
          <w:rFonts w:asciiTheme="majorHAnsi" w:hAnsiTheme="majorHAnsi"/>
          <w:sz w:val="22"/>
          <w:szCs w:val="22"/>
        </w:rPr>
      </w:pPr>
      <w:r>
        <w:rPr>
          <w:rFonts w:asciiTheme="majorHAnsi" w:hAnsiTheme="majorHAnsi"/>
          <w:sz w:val="22"/>
          <w:szCs w:val="22"/>
        </w:rPr>
        <w:t>The debt market in India can be broadly divided into three parts</w:t>
      </w:r>
      <w:r w:rsidR="00B02B7E">
        <w:rPr>
          <w:rFonts w:asciiTheme="majorHAnsi" w:hAnsiTheme="majorHAnsi"/>
          <w:sz w:val="22"/>
          <w:szCs w:val="22"/>
        </w:rPr>
        <w:t xml:space="preserve"> (Figure 1)</w:t>
      </w:r>
      <w:r>
        <w:rPr>
          <w:rFonts w:asciiTheme="majorHAnsi" w:hAnsiTheme="majorHAnsi"/>
          <w:sz w:val="22"/>
          <w:szCs w:val="22"/>
        </w:rPr>
        <w:t>:</w:t>
      </w:r>
    </w:p>
    <w:p w14:paraId="36584383" w14:textId="2AED78F4" w:rsidR="00784AD2" w:rsidRPr="00F8736A" w:rsidRDefault="00784AD2" w:rsidP="00F8736A">
      <w:pPr>
        <w:pStyle w:val="ListParagraph"/>
        <w:numPr>
          <w:ilvl w:val="0"/>
          <w:numId w:val="1"/>
        </w:numPr>
        <w:spacing w:after="200" w:line="276" w:lineRule="auto"/>
        <w:rPr>
          <w:rFonts w:asciiTheme="majorHAnsi" w:hAnsiTheme="majorHAnsi"/>
          <w:sz w:val="22"/>
          <w:szCs w:val="22"/>
        </w:rPr>
      </w:pPr>
      <w:r w:rsidRPr="00F8736A">
        <w:rPr>
          <w:rFonts w:asciiTheme="majorHAnsi" w:hAnsiTheme="majorHAnsi"/>
          <w:sz w:val="22"/>
          <w:szCs w:val="22"/>
        </w:rPr>
        <w:t xml:space="preserve">Sovereign debt: </w:t>
      </w:r>
      <w:r w:rsidR="00F8736A" w:rsidRPr="00F8736A">
        <w:rPr>
          <w:rFonts w:asciiTheme="majorHAnsi" w:hAnsiTheme="majorHAnsi"/>
          <w:sz w:val="22"/>
          <w:szCs w:val="22"/>
        </w:rPr>
        <w:t>the dominant player in the overall market, this consists of all government issues (central and state), mainly through Government Securities (Treasury Bonds) and Treasury Bills.</w:t>
      </w:r>
    </w:p>
    <w:p w14:paraId="0DB66FD8" w14:textId="66B7DD7F" w:rsidR="00F8736A" w:rsidRDefault="00B02B7E" w:rsidP="00F8736A">
      <w:pPr>
        <w:pStyle w:val="ListParagraph"/>
        <w:numPr>
          <w:ilvl w:val="0"/>
          <w:numId w:val="1"/>
        </w:numPr>
        <w:spacing w:after="200" w:line="276" w:lineRule="auto"/>
        <w:rPr>
          <w:rFonts w:asciiTheme="majorHAnsi" w:hAnsiTheme="majorHAnsi"/>
          <w:sz w:val="22"/>
          <w:szCs w:val="22"/>
        </w:rPr>
      </w:pPr>
      <w:r>
        <w:rPr>
          <w:rFonts w:asciiTheme="majorHAnsi" w:hAnsiTheme="majorHAnsi"/>
          <w:sz w:val="22"/>
          <w:szCs w:val="22"/>
        </w:rPr>
        <w:t xml:space="preserve">Public sector debt: </w:t>
      </w:r>
      <w:r w:rsidR="00CA2BB7">
        <w:rPr>
          <w:rFonts w:asciiTheme="majorHAnsi" w:hAnsiTheme="majorHAnsi"/>
          <w:sz w:val="22"/>
          <w:szCs w:val="22"/>
        </w:rPr>
        <w:t xml:space="preserve">this consists of all instruments issued by public sector enterprises, including public sector banks, industries and </w:t>
      </w:r>
      <w:r w:rsidR="00CD770A">
        <w:rPr>
          <w:rFonts w:asciiTheme="majorHAnsi" w:hAnsiTheme="majorHAnsi"/>
          <w:sz w:val="22"/>
          <w:szCs w:val="22"/>
        </w:rPr>
        <w:t xml:space="preserve">financial institutions, such as corporate bonds, commercial </w:t>
      </w:r>
      <w:r w:rsidR="00436E53">
        <w:rPr>
          <w:rFonts w:asciiTheme="majorHAnsi" w:hAnsiTheme="majorHAnsi"/>
          <w:sz w:val="22"/>
          <w:szCs w:val="22"/>
        </w:rPr>
        <w:t>papers, certificates of deposit and</w:t>
      </w:r>
      <w:r w:rsidR="00CD770A">
        <w:rPr>
          <w:rFonts w:asciiTheme="majorHAnsi" w:hAnsiTheme="majorHAnsi"/>
          <w:sz w:val="22"/>
          <w:szCs w:val="22"/>
        </w:rPr>
        <w:t xml:space="preserve"> debentures, among others.</w:t>
      </w:r>
    </w:p>
    <w:p w14:paraId="586C4A7D" w14:textId="364C8AB1" w:rsidR="00CA2BB7" w:rsidRDefault="00CD770A" w:rsidP="00F8736A">
      <w:pPr>
        <w:pStyle w:val="ListParagraph"/>
        <w:numPr>
          <w:ilvl w:val="0"/>
          <w:numId w:val="1"/>
        </w:numPr>
        <w:spacing w:after="200" w:line="276" w:lineRule="auto"/>
        <w:rPr>
          <w:rFonts w:asciiTheme="majorHAnsi" w:hAnsiTheme="majorHAnsi"/>
          <w:sz w:val="22"/>
          <w:szCs w:val="22"/>
        </w:rPr>
      </w:pPr>
      <w:r>
        <w:rPr>
          <w:rFonts w:asciiTheme="majorHAnsi" w:hAnsiTheme="majorHAnsi"/>
          <w:sz w:val="22"/>
          <w:szCs w:val="22"/>
        </w:rPr>
        <w:t xml:space="preserve">Private sector debt: this </w:t>
      </w:r>
      <w:r w:rsidR="00C07626">
        <w:rPr>
          <w:rFonts w:asciiTheme="majorHAnsi" w:hAnsiTheme="majorHAnsi"/>
          <w:sz w:val="22"/>
          <w:szCs w:val="22"/>
        </w:rPr>
        <w:t xml:space="preserve">largely consists of instruments issued by private sector companies, along with banks and financial institutions, such as bonds, </w:t>
      </w:r>
      <w:r w:rsidR="00436E53">
        <w:rPr>
          <w:rFonts w:asciiTheme="majorHAnsi" w:hAnsiTheme="majorHAnsi"/>
          <w:sz w:val="22"/>
          <w:szCs w:val="22"/>
        </w:rPr>
        <w:t>commercial papers, debentures and securitized debt, among others.</w:t>
      </w:r>
    </w:p>
    <w:p w14:paraId="407FA8DB" w14:textId="179EEBE8" w:rsidR="00783D44" w:rsidRDefault="00783D44" w:rsidP="00783D44">
      <w:pPr>
        <w:spacing w:after="200" w:line="276" w:lineRule="auto"/>
        <w:rPr>
          <w:rFonts w:asciiTheme="majorHAnsi" w:hAnsiTheme="majorHAnsi"/>
          <w:sz w:val="22"/>
          <w:szCs w:val="22"/>
        </w:rPr>
      </w:pPr>
      <w:r>
        <w:rPr>
          <w:rFonts w:asciiTheme="majorHAnsi" w:hAnsiTheme="majorHAnsi"/>
          <w:sz w:val="22"/>
          <w:szCs w:val="22"/>
        </w:rPr>
        <w:t>The major partic</w:t>
      </w:r>
      <w:r w:rsidR="00E926C2">
        <w:rPr>
          <w:rFonts w:asciiTheme="majorHAnsi" w:hAnsiTheme="majorHAnsi"/>
          <w:sz w:val="22"/>
          <w:szCs w:val="22"/>
        </w:rPr>
        <w:t xml:space="preserve">ipants in the debt markets, in order of volumes traded, are: foreign banks, Indian banks, primary dealers and </w:t>
      </w:r>
      <w:r w:rsidR="00D57BB0">
        <w:rPr>
          <w:rFonts w:asciiTheme="majorHAnsi" w:hAnsiTheme="majorHAnsi"/>
          <w:sz w:val="22"/>
          <w:szCs w:val="22"/>
        </w:rPr>
        <w:t xml:space="preserve">institutions (financial institutions, mutual funds and corporates). </w:t>
      </w:r>
      <w:r w:rsidR="00804233">
        <w:rPr>
          <w:rFonts w:asciiTheme="majorHAnsi" w:hAnsiTheme="majorHAnsi"/>
          <w:sz w:val="22"/>
          <w:szCs w:val="22"/>
        </w:rPr>
        <w:t xml:space="preserve">The total number of trading members </w:t>
      </w:r>
      <w:r w:rsidR="00A42EDD">
        <w:rPr>
          <w:rFonts w:asciiTheme="majorHAnsi" w:hAnsiTheme="majorHAnsi"/>
          <w:sz w:val="22"/>
          <w:szCs w:val="22"/>
        </w:rPr>
        <w:t xml:space="preserve">has increased substantially over the two decades, primarily because of the reforms instituted in the NEP and by subsequent governments, from 3,921 in 1994-95 to </w:t>
      </w:r>
      <w:r w:rsidR="00132E69">
        <w:rPr>
          <w:rFonts w:asciiTheme="majorHAnsi" w:hAnsiTheme="majorHAnsi"/>
          <w:sz w:val="22"/>
          <w:szCs w:val="22"/>
        </w:rPr>
        <w:t xml:space="preserve">432,218 in 2014-15. </w:t>
      </w:r>
      <w:r w:rsidR="001921DE" w:rsidRPr="001921DE">
        <w:rPr>
          <w:rFonts w:asciiTheme="majorHAnsi" w:hAnsiTheme="majorHAnsi"/>
          <w:i/>
          <w:sz w:val="22"/>
          <w:szCs w:val="22"/>
        </w:rPr>
        <w:t>(Appendices: Table 1)</w:t>
      </w:r>
    </w:p>
    <w:p w14:paraId="093F47E6" w14:textId="5479DD1D" w:rsidR="00132E69" w:rsidRPr="0062605A" w:rsidRDefault="009A2FC9" w:rsidP="00783D44">
      <w:pPr>
        <w:spacing w:after="200" w:line="276" w:lineRule="auto"/>
        <w:rPr>
          <w:rFonts w:asciiTheme="majorHAnsi" w:hAnsiTheme="majorHAnsi"/>
          <w:b/>
          <w:sz w:val="22"/>
          <w:szCs w:val="22"/>
        </w:rPr>
      </w:pPr>
      <w:r>
        <w:rPr>
          <w:rFonts w:asciiTheme="majorHAnsi" w:hAnsiTheme="majorHAnsi"/>
          <w:b/>
          <w:sz w:val="22"/>
          <w:szCs w:val="22"/>
        </w:rPr>
        <w:lastRenderedPageBreak/>
        <w:t>Additional Developments</w:t>
      </w:r>
      <w:r w:rsidR="00B64C5D" w:rsidRPr="0062605A">
        <w:rPr>
          <w:rFonts w:asciiTheme="majorHAnsi" w:hAnsiTheme="majorHAnsi"/>
          <w:b/>
          <w:sz w:val="22"/>
          <w:szCs w:val="22"/>
        </w:rPr>
        <w:t xml:space="preserve"> in the Indian debt markets</w:t>
      </w:r>
      <w:r>
        <w:rPr>
          <w:rFonts w:asciiTheme="majorHAnsi" w:hAnsiTheme="majorHAnsi"/>
          <w:b/>
          <w:sz w:val="22"/>
          <w:szCs w:val="22"/>
        </w:rPr>
        <w:t xml:space="preserve"> after the NEP</w:t>
      </w:r>
      <w:r w:rsidR="00B64C5D" w:rsidRPr="0062605A">
        <w:rPr>
          <w:rFonts w:asciiTheme="majorHAnsi" w:hAnsiTheme="majorHAnsi"/>
          <w:b/>
          <w:sz w:val="22"/>
          <w:szCs w:val="22"/>
        </w:rPr>
        <w:t>:</w:t>
      </w:r>
    </w:p>
    <w:p w14:paraId="49CA4EBC" w14:textId="36927B4F" w:rsidR="00B64C5D" w:rsidRDefault="00B64C5D" w:rsidP="00B64C5D">
      <w:pPr>
        <w:pStyle w:val="ListParagraph"/>
        <w:numPr>
          <w:ilvl w:val="0"/>
          <w:numId w:val="2"/>
        </w:numPr>
        <w:spacing w:after="200" w:line="276" w:lineRule="auto"/>
        <w:rPr>
          <w:rFonts w:asciiTheme="majorHAnsi" w:hAnsiTheme="majorHAnsi"/>
          <w:sz w:val="22"/>
          <w:szCs w:val="22"/>
        </w:rPr>
      </w:pPr>
      <w:r w:rsidRPr="00B64C5D">
        <w:rPr>
          <w:rFonts w:asciiTheme="majorHAnsi" w:hAnsiTheme="majorHAnsi"/>
          <w:sz w:val="22"/>
          <w:szCs w:val="22"/>
        </w:rPr>
        <w:t>Government securities (Treasury Bonds and Bills)</w:t>
      </w:r>
    </w:p>
    <w:p w14:paraId="04849635" w14:textId="3EBEEA4A" w:rsidR="009B3C2A" w:rsidRPr="00082594" w:rsidRDefault="003F4469" w:rsidP="00082594">
      <w:pPr>
        <w:pStyle w:val="ListParagraph"/>
        <w:numPr>
          <w:ilvl w:val="0"/>
          <w:numId w:val="4"/>
        </w:numPr>
        <w:spacing w:after="200" w:line="276" w:lineRule="auto"/>
        <w:rPr>
          <w:rFonts w:asciiTheme="majorHAnsi" w:hAnsiTheme="majorHAnsi"/>
          <w:sz w:val="22"/>
          <w:szCs w:val="22"/>
        </w:rPr>
      </w:pPr>
      <w:r w:rsidRPr="00082594">
        <w:rPr>
          <w:rFonts w:asciiTheme="majorHAnsi" w:hAnsiTheme="majorHAnsi"/>
          <w:sz w:val="22"/>
          <w:szCs w:val="22"/>
        </w:rPr>
        <w:t xml:space="preserve">Primary Dealers (PDs): a system of </w:t>
      </w:r>
      <w:r w:rsidR="00CB4130" w:rsidRPr="00082594">
        <w:rPr>
          <w:rFonts w:asciiTheme="majorHAnsi" w:hAnsiTheme="majorHAnsi"/>
          <w:sz w:val="22"/>
          <w:szCs w:val="22"/>
        </w:rPr>
        <w:t xml:space="preserve">PDs was first introduced in 1995, primarily to function as </w:t>
      </w:r>
      <w:r w:rsidR="001976D8">
        <w:rPr>
          <w:rFonts w:asciiTheme="majorHAnsi" w:hAnsiTheme="majorHAnsi"/>
          <w:sz w:val="22"/>
          <w:szCs w:val="22"/>
        </w:rPr>
        <w:t xml:space="preserve">underwriters </w:t>
      </w:r>
      <w:r w:rsidR="00132A7E">
        <w:rPr>
          <w:rFonts w:asciiTheme="majorHAnsi" w:hAnsiTheme="majorHAnsi"/>
          <w:sz w:val="22"/>
          <w:szCs w:val="22"/>
        </w:rPr>
        <w:t xml:space="preserve">and bidders </w:t>
      </w:r>
      <w:r w:rsidR="001976D8">
        <w:rPr>
          <w:rFonts w:asciiTheme="majorHAnsi" w:hAnsiTheme="majorHAnsi"/>
          <w:sz w:val="22"/>
          <w:szCs w:val="22"/>
        </w:rPr>
        <w:t xml:space="preserve">in the primary market </w:t>
      </w:r>
      <w:r w:rsidR="001976D8" w:rsidRPr="00082594">
        <w:rPr>
          <w:rFonts w:asciiTheme="majorHAnsi" w:hAnsiTheme="majorHAnsi"/>
          <w:sz w:val="22"/>
          <w:szCs w:val="22"/>
        </w:rPr>
        <w:t>(by supporting the auction system of new government issues)</w:t>
      </w:r>
      <w:r w:rsidR="006944E0">
        <w:rPr>
          <w:rFonts w:asciiTheme="majorHAnsi" w:hAnsiTheme="majorHAnsi"/>
          <w:sz w:val="22"/>
          <w:szCs w:val="22"/>
        </w:rPr>
        <w:t>,</w:t>
      </w:r>
      <w:r w:rsidR="001976D8">
        <w:rPr>
          <w:rFonts w:asciiTheme="majorHAnsi" w:hAnsiTheme="majorHAnsi"/>
          <w:sz w:val="22"/>
          <w:szCs w:val="22"/>
        </w:rPr>
        <w:t xml:space="preserve"> and </w:t>
      </w:r>
      <w:r w:rsidR="006944E0">
        <w:rPr>
          <w:rFonts w:asciiTheme="majorHAnsi" w:hAnsiTheme="majorHAnsi"/>
          <w:sz w:val="22"/>
          <w:szCs w:val="22"/>
        </w:rPr>
        <w:t xml:space="preserve">as </w:t>
      </w:r>
      <w:r w:rsidR="00CB4130" w:rsidRPr="00082594">
        <w:rPr>
          <w:rFonts w:asciiTheme="majorHAnsi" w:hAnsiTheme="majorHAnsi"/>
          <w:sz w:val="22"/>
          <w:szCs w:val="22"/>
        </w:rPr>
        <w:t xml:space="preserve">market makers </w:t>
      </w:r>
      <w:r w:rsidR="001976D8">
        <w:rPr>
          <w:rFonts w:asciiTheme="majorHAnsi" w:hAnsiTheme="majorHAnsi"/>
          <w:sz w:val="22"/>
          <w:szCs w:val="22"/>
        </w:rPr>
        <w:t>in the secondary markets</w:t>
      </w:r>
      <w:r w:rsidR="00FE1307">
        <w:rPr>
          <w:rFonts w:asciiTheme="majorHAnsi" w:hAnsiTheme="majorHAnsi"/>
          <w:sz w:val="22"/>
          <w:szCs w:val="22"/>
        </w:rPr>
        <w:t xml:space="preserve"> (by</w:t>
      </w:r>
      <w:r w:rsidR="00910A9D" w:rsidRPr="00082594">
        <w:rPr>
          <w:rFonts w:asciiTheme="majorHAnsi" w:hAnsiTheme="majorHAnsi"/>
          <w:sz w:val="22"/>
          <w:szCs w:val="22"/>
        </w:rPr>
        <w:t xml:space="preserve"> facilitating</w:t>
      </w:r>
      <w:r w:rsidR="00F15EF1" w:rsidRPr="00082594">
        <w:rPr>
          <w:rFonts w:asciiTheme="majorHAnsi" w:hAnsiTheme="majorHAnsi"/>
          <w:sz w:val="22"/>
          <w:szCs w:val="22"/>
        </w:rPr>
        <w:t xml:space="preserve"> trading</w:t>
      </w:r>
      <w:r w:rsidR="00FE1307">
        <w:rPr>
          <w:rFonts w:asciiTheme="majorHAnsi" w:hAnsiTheme="majorHAnsi"/>
          <w:sz w:val="22"/>
          <w:szCs w:val="22"/>
        </w:rPr>
        <w:t>)</w:t>
      </w:r>
      <w:r w:rsidR="00CB4130" w:rsidRPr="00082594">
        <w:rPr>
          <w:rFonts w:asciiTheme="majorHAnsi" w:hAnsiTheme="majorHAnsi"/>
          <w:sz w:val="22"/>
          <w:szCs w:val="22"/>
        </w:rPr>
        <w:t>.</w:t>
      </w:r>
    </w:p>
    <w:p w14:paraId="51DC3525" w14:textId="1C4E7116" w:rsidR="00CB4130" w:rsidRPr="00082594" w:rsidRDefault="000E1E67" w:rsidP="00082594">
      <w:pPr>
        <w:pStyle w:val="ListParagraph"/>
        <w:numPr>
          <w:ilvl w:val="0"/>
          <w:numId w:val="4"/>
        </w:numPr>
        <w:spacing w:after="200" w:line="276" w:lineRule="auto"/>
        <w:rPr>
          <w:rFonts w:asciiTheme="majorHAnsi" w:hAnsiTheme="majorHAnsi"/>
          <w:sz w:val="22"/>
          <w:szCs w:val="22"/>
        </w:rPr>
      </w:pPr>
      <w:r w:rsidRPr="00082594">
        <w:rPr>
          <w:rFonts w:asciiTheme="majorHAnsi" w:hAnsiTheme="majorHAnsi"/>
          <w:sz w:val="22"/>
          <w:szCs w:val="22"/>
        </w:rPr>
        <w:t>Wholesale Debt Markets (WDM) seg</w:t>
      </w:r>
      <w:r w:rsidR="0021217C" w:rsidRPr="00082594">
        <w:rPr>
          <w:rFonts w:asciiTheme="majorHAnsi" w:hAnsiTheme="majorHAnsi"/>
          <w:sz w:val="22"/>
          <w:szCs w:val="22"/>
        </w:rPr>
        <w:t>ment</w:t>
      </w:r>
      <w:r w:rsidR="00EE200C" w:rsidRPr="00082594">
        <w:rPr>
          <w:rFonts w:asciiTheme="majorHAnsi" w:hAnsiTheme="majorHAnsi"/>
          <w:sz w:val="22"/>
          <w:szCs w:val="22"/>
        </w:rPr>
        <w:t xml:space="preserve"> in the National Stock Exchange (NSE)</w:t>
      </w:r>
      <w:r w:rsidR="0021217C" w:rsidRPr="00082594">
        <w:rPr>
          <w:rFonts w:asciiTheme="majorHAnsi" w:hAnsiTheme="majorHAnsi"/>
          <w:sz w:val="22"/>
          <w:szCs w:val="22"/>
        </w:rPr>
        <w:t>: The WDM segment was introduced as the first screen-based trading facility for the debt market in 1994</w:t>
      </w:r>
      <w:r w:rsidR="00217A86" w:rsidRPr="00082594">
        <w:rPr>
          <w:rFonts w:asciiTheme="majorHAnsi" w:hAnsiTheme="majorHAnsi"/>
          <w:sz w:val="22"/>
          <w:szCs w:val="22"/>
        </w:rPr>
        <w:t>.</w:t>
      </w:r>
      <w:r w:rsidR="00697155" w:rsidRPr="00082594">
        <w:rPr>
          <w:rFonts w:asciiTheme="majorHAnsi" w:hAnsiTheme="majorHAnsi"/>
          <w:sz w:val="22"/>
          <w:szCs w:val="22"/>
        </w:rPr>
        <w:t xml:space="preserve"> This has now been replaced with a more advanced Negotiated Trade Reporting Platform that covers almost all the instruments traded in the debt markets.</w:t>
      </w:r>
    </w:p>
    <w:p w14:paraId="77EB31F6" w14:textId="0A2CF354" w:rsidR="00413F09" w:rsidRPr="00082594" w:rsidRDefault="00B933A8" w:rsidP="00082594">
      <w:pPr>
        <w:pStyle w:val="ListParagraph"/>
        <w:numPr>
          <w:ilvl w:val="0"/>
          <w:numId w:val="4"/>
        </w:numPr>
        <w:spacing w:after="200" w:line="276" w:lineRule="auto"/>
        <w:rPr>
          <w:rFonts w:asciiTheme="majorHAnsi" w:hAnsiTheme="majorHAnsi"/>
          <w:sz w:val="22"/>
          <w:szCs w:val="22"/>
        </w:rPr>
      </w:pPr>
      <w:r w:rsidRPr="00082594">
        <w:rPr>
          <w:rFonts w:asciiTheme="majorHAnsi" w:hAnsiTheme="majorHAnsi"/>
          <w:sz w:val="22"/>
          <w:szCs w:val="22"/>
        </w:rPr>
        <w:t xml:space="preserve">Negotiated Dealing System (NDS) and Negotiated Dealing System – Order Matching system (NDS-OM): Prior to 2002, </w:t>
      </w:r>
      <w:r w:rsidR="00653602" w:rsidRPr="00082594">
        <w:rPr>
          <w:rFonts w:asciiTheme="majorHAnsi" w:hAnsiTheme="majorHAnsi"/>
          <w:sz w:val="22"/>
          <w:szCs w:val="22"/>
        </w:rPr>
        <w:t xml:space="preserve">the government securities market in India was a phone-based market, with settlements handled physically </w:t>
      </w:r>
      <w:r w:rsidR="00924938" w:rsidRPr="00082594">
        <w:rPr>
          <w:rFonts w:asciiTheme="majorHAnsi" w:hAnsiTheme="majorHAnsi"/>
          <w:sz w:val="22"/>
          <w:szCs w:val="22"/>
        </w:rPr>
        <w:t xml:space="preserve">through ledger forms and paper-check payments. </w:t>
      </w:r>
      <w:r w:rsidR="00D26935" w:rsidRPr="00082594">
        <w:rPr>
          <w:rFonts w:asciiTheme="majorHAnsi" w:hAnsiTheme="majorHAnsi"/>
          <w:sz w:val="22"/>
          <w:szCs w:val="22"/>
        </w:rPr>
        <w:t xml:space="preserve">The RBI initiated the change toward automated processes in 2002, when it introduced the NDS, which allowed primary market participants to </w:t>
      </w:r>
      <w:r w:rsidR="00863409" w:rsidRPr="00082594">
        <w:rPr>
          <w:rFonts w:asciiTheme="majorHAnsi" w:hAnsiTheme="majorHAnsi"/>
          <w:sz w:val="22"/>
          <w:szCs w:val="22"/>
        </w:rPr>
        <w:t xml:space="preserve">electronically submit issue bids and receive allotments. </w:t>
      </w:r>
      <w:r w:rsidR="00A9421B" w:rsidRPr="00082594">
        <w:rPr>
          <w:rFonts w:asciiTheme="majorHAnsi" w:hAnsiTheme="majorHAnsi"/>
          <w:sz w:val="22"/>
          <w:szCs w:val="22"/>
        </w:rPr>
        <w:t>To facilitate electronic trading and settlement in the secondary market, the RBI introduced the NDS-OM system in 2005. The NDS-OM is owned by the RBI and operated by the CCIL</w:t>
      </w:r>
      <w:r w:rsidR="00407F94" w:rsidRPr="00082594">
        <w:rPr>
          <w:rFonts w:asciiTheme="majorHAnsi" w:hAnsiTheme="majorHAnsi"/>
          <w:sz w:val="22"/>
          <w:szCs w:val="22"/>
        </w:rPr>
        <w:t xml:space="preserve"> and has captured over 80% of the secondary trading volume in government securities.</w:t>
      </w:r>
    </w:p>
    <w:p w14:paraId="30051F4B" w14:textId="0197F252" w:rsidR="00217A86" w:rsidRDefault="00E228BB" w:rsidP="00082594">
      <w:pPr>
        <w:pStyle w:val="ListParagraph"/>
        <w:numPr>
          <w:ilvl w:val="0"/>
          <w:numId w:val="4"/>
        </w:numPr>
        <w:spacing w:after="200" w:line="276" w:lineRule="auto"/>
        <w:rPr>
          <w:rFonts w:asciiTheme="majorHAnsi" w:hAnsiTheme="majorHAnsi"/>
          <w:sz w:val="22"/>
          <w:szCs w:val="22"/>
        </w:rPr>
      </w:pPr>
      <w:r w:rsidRPr="00082594">
        <w:rPr>
          <w:rFonts w:asciiTheme="majorHAnsi" w:hAnsiTheme="majorHAnsi"/>
          <w:sz w:val="22"/>
          <w:szCs w:val="22"/>
        </w:rPr>
        <w:t xml:space="preserve">Product innovations: Some of the most important products introduced since the NEP include Zero Coupon Bonds, </w:t>
      </w:r>
      <w:r w:rsidR="003D56D5" w:rsidRPr="00082594">
        <w:rPr>
          <w:rFonts w:asciiTheme="majorHAnsi" w:hAnsiTheme="majorHAnsi"/>
          <w:sz w:val="22"/>
          <w:szCs w:val="22"/>
        </w:rPr>
        <w:t xml:space="preserve">Floating Rate Bonds, STRIPS, Bonds with Call and Put options, Inflation-Indexed Bonds, </w:t>
      </w:r>
      <w:r w:rsidR="00CF5FB4" w:rsidRPr="00082594">
        <w:rPr>
          <w:rFonts w:asciiTheme="majorHAnsi" w:hAnsiTheme="majorHAnsi"/>
          <w:sz w:val="22"/>
          <w:szCs w:val="22"/>
        </w:rPr>
        <w:t xml:space="preserve">Capital-Indexed Bonds, </w:t>
      </w:r>
      <w:r w:rsidR="003D56D5" w:rsidRPr="00082594">
        <w:rPr>
          <w:rFonts w:asciiTheme="majorHAnsi" w:hAnsiTheme="majorHAnsi"/>
          <w:sz w:val="22"/>
          <w:szCs w:val="22"/>
        </w:rPr>
        <w:t xml:space="preserve">Interest Futures, Interest Rate Swaps / Forward Rate Agreement and </w:t>
      </w:r>
      <w:r w:rsidR="00345FDA" w:rsidRPr="00082594">
        <w:rPr>
          <w:rFonts w:asciiTheme="majorHAnsi" w:hAnsiTheme="majorHAnsi"/>
          <w:sz w:val="22"/>
          <w:szCs w:val="22"/>
        </w:rPr>
        <w:t>Credit Default Swaps.</w:t>
      </w:r>
    </w:p>
    <w:p w14:paraId="041DE632" w14:textId="77777777" w:rsidR="00082594" w:rsidRPr="00082594" w:rsidRDefault="00082594" w:rsidP="00082594">
      <w:pPr>
        <w:pStyle w:val="ListParagraph"/>
        <w:spacing w:after="200" w:line="276" w:lineRule="auto"/>
        <w:ind w:left="360"/>
        <w:rPr>
          <w:rFonts w:asciiTheme="majorHAnsi" w:hAnsiTheme="majorHAnsi"/>
          <w:sz w:val="22"/>
          <w:szCs w:val="22"/>
        </w:rPr>
      </w:pPr>
    </w:p>
    <w:p w14:paraId="0DE89547" w14:textId="6A2ABC3E" w:rsidR="00B64C5D" w:rsidRPr="00B64C5D" w:rsidRDefault="009B3C2A" w:rsidP="00B64C5D">
      <w:pPr>
        <w:pStyle w:val="ListParagraph"/>
        <w:numPr>
          <w:ilvl w:val="0"/>
          <w:numId w:val="2"/>
        </w:numPr>
        <w:spacing w:after="200" w:line="276" w:lineRule="auto"/>
        <w:rPr>
          <w:rFonts w:asciiTheme="majorHAnsi" w:hAnsiTheme="majorHAnsi"/>
          <w:sz w:val="22"/>
          <w:szCs w:val="22"/>
        </w:rPr>
      </w:pPr>
      <w:r>
        <w:rPr>
          <w:rFonts w:asciiTheme="majorHAnsi" w:hAnsiTheme="majorHAnsi"/>
          <w:sz w:val="22"/>
          <w:szCs w:val="22"/>
        </w:rPr>
        <w:t>Corporate bonds</w:t>
      </w:r>
    </w:p>
    <w:p w14:paraId="0FC06F77" w14:textId="420A932A" w:rsidR="00D57BB0" w:rsidRDefault="005F10FD" w:rsidP="00BC7AD7">
      <w:pPr>
        <w:spacing w:after="200" w:line="276" w:lineRule="auto"/>
        <w:rPr>
          <w:rFonts w:asciiTheme="majorHAnsi" w:hAnsiTheme="majorHAnsi"/>
          <w:sz w:val="22"/>
          <w:szCs w:val="22"/>
        </w:rPr>
      </w:pPr>
      <w:r>
        <w:rPr>
          <w:rFonts w:asciiTheme="majorHAnsi" w:hAnsiTheme="majorHAnsi"/>
          <w:sz w:val="22"/>
          <w:szCs w:val="22"/>
        </w:rPr>
        <w:t>There are a number of key developments that have helped in greatly improving the transparency</w:t>
      </w:r>
      <w:r w:rsidR="00DB2741">
        <w:rPr>
          <w:rFonts w:asciiTheme="majorHAnsi" w:hAnsiTheme="majorHAnsi"/>
          <w:sz w:val="22"/>
          <w:szCs w:val="22"/>
        </w:rPr>
        <w:t xml:space="preserve"> and tradability of corporate paper, the main among which are:</w:t>
      </w:r>
    </w:p>
    <w:p w14:paraId="6DE33F91" w14:textId="1745F7DD" w:rsidR="00DB2741" w:rsidRPr="00082594" w:rsidRDefault="0043408B" w:rsidP="00082594">
      <w:pPr>
        <w:pStyle w:val="ListParagraph"/>
        <w:numPr>
          <w:ilvl w:val="0"/>
          <w:numId w:val="3"/>
        </w:numPr>
        <w:spacing w:after="200" w:line="276" w:lineRule="auto"/>
        <w:rPr>
          <w:rFonts w:asciiTheme="majorHAnsi" w:hAnsiTheme="majorHAnsi"/>
          <w:sz w:val="22"/>
          <w:szCs w:val="22"/>
        </w:rPr>
      </w:pPr>
      <w:r w:rsidRPr="00082594">
        <w:rPr>
          <w:rFonts w:asciiTheme="majorHAnsi" w:hAnsiTheme="majorHAnsi"/>
          <w:sz w:val="22"/>
          <w:szCs w:val="22"/>
        </w:rPr>
        <w:t>Demateralization of holdings and the compulsory reporting of trade by the Stock Exchange Board of India (SEBI), which is the overseer for the corporate bond market.</w:t>
      </w:r>
    </w:p>
    <w:p w14:paraId="5070ED21" w14:textId="1DE00247" w:rsidR="0043408B" w:rsidRPr="00082594" w:rsidRDefault="0043408B" w:rsidP="00082594">
      <w:pPr>
        <w:pStyle w:val="ListParagraph"/>
        <w:numPr>
          <w:ilvl w:val="0"/>
          <w:numId w:val="3"/>
        </w:numPr>
        <w:spacing w:after="200" w:line="276" w:lineRule="auto"/>
        <w:rPr>
          <w:rFonts w:asciiTheme="majorHAnsi" w:hAnsiTheme="majorHAnsi"/>
          <w:sz w:val="22"/>
          <w:szCs w:val="22"/>
        </w:rPr>
      </w:pPr>
      <w:r w:rsidRPr="00082594">
        <w:rPr>
          <w:rFonts w:asciiTheme="majorHAnsi" w:hAnsiTheme="majorHAnsi"/>
          <w:sz w:val="22"/>
          <w:szCs w:val="22"/>
        </w:rPr>
        <w:t xml:space="preserve">Formalized documentation requirements for </w:t>
      </w:r>
      <w:r w:rsidR="00AD35C3" w:rsidRPr="00082594">
        <w:rPr>
          <w:rFonts w:asciiTheme="majorHAnsi" w:hAnsiTheme="majorHAnsi"/>
          <w:sz w:val="22"/>
          <w:szCs w:val="22"/>
        </w:rPr>
        <w:t>private placements, which form the bulk of trades in India.</w:t>
      </w:r>
    </w:p>
    <w:p w14:paraId="5CF42944" w14:textId="795E11C1" w:rsidR="00AD35C3" w:rsidRPr="00082594" w:rsidRDefault="00AD35C3" w:rsidP="00082594">
      <w:pPr>
        <w:pStyle w:val="ListParagraph"/>
        <w:numPr>
          <w:ilvl w:val="0"/>
          <w:numId w:val="3"/>
        </w:numPr>
        <w:spacing w:after="200" w:line="276" w:lineRule="auto"/>
        <w:rPr>
          <w:rFonts w:asciiTheme="majorHAnsi" w:hAnsiTheme="majorHAnsi"/>
          <w:sz w:val="22"/>
          <w:szCs w:val="22"/>
        </w:rPr>
      </w:pPr>
      <w:r w:rsidRPr="00082594">
        <w:rPr>
          <w:rFonts w:asciiTheme="majorHAnsi" w:hAnsiTheme="majorHAnsi"/>
          <w:sz w:val="22"/>
          <w:szCs w:val="22"/>
        </w:rPr>
        <w:t xml:space="preserve">Developing local credit agencies to </w:t>
      </w:r>
      <w:r w:rsidR="007948ED" w:rsidRPr="00082594">
        <w:rPr>
          <w:rFonts w:asciiTheme="majorHAnsi" w:hAnsiTheme="majorHAnsi"/>
          <w:sz w:val="22"/>
          <w:szCs w:val="22"/>
        </w:rPr>
        <w:t>provide adequate information to investors. Currently, the main credit agen</w:t>
      </w:r>
      <w:r w:rsidR="00082594" w:rsidRPr="00082594">
        <w:rPr>
          <w:rFonts w:asciiTheme="majorHAnsi" w:hAnsiTheme="majorHAnsi"/>
          <w:sz w:val="22"/>
          <w:szCs w:val="22"/>
        </w:rPr>
        <w:t>cies in India are CRISIL, CARE, ICRA and Fitch (India).</w:t>
      </w:r>
    </w:p>
    <w:p w14:paraId="28DC0BD5" w14:textId="1CBEA174" w:rsidR="00082594" w:rsidRDefault="00082594" w:rsidP="00082594">
      <w:pPr>
        <w:pStyle w:val="ListParagraph"/>
        <w:numPr>
          <w:ilvl w:val="0"/>
          <w:numId w:val="3"/>
        </w:numPr>
        <w:spacing w:after="200" w:line="276" w:lineRule="auto"/>
        <w:rPr>
          <w:rFonts w:asciiTheme="majorHAnsi" w:hAnsiTheme="majorHAnsi"/>
          <w:sz w:val="22"/>
          <w:szCs w:val="22"/>
        </w:rPr>
      </w:pPr>
      <w:r w:rsidRPr="00082594">
        <w:rPr>
          <w:rFonts w:asciiTheme="majorHAnsi" w:hAnsiTheme="majorHAnsi"/>
          <w:sz w:val="22"/>
          <w:szCs w:val="22"/>
        </w:rPr>
        <w:t>Simplifying listing requirements for corporate paper.</w:t>
      </w:r>
    </w:p>
    <w:p w14:paraId="0A14CDCE" w14:textId="7A2B7217" w:rsidR="00082594" w:rsidRPr="005C1481" w:rsidRDefault="00232DBC" w:rsidP="00082594">
      <w:pPr>
        <w:spacing w:after="200" w:line="276" w:lineRule="auto"/>
        <w:rPr>
          <w:rFonts w:asciiTheme="majorHAnsi" w:hAnsiTheme="majorHAnsi"/>
          <w:b/>
          <w:sz w:val="22"/>
          <w:szCs w:val="22"/>
        </w:rPr>
      </w:pPr>
      <w:r>
        <w:rPr>
          <w:rFonts w:asciiTheme="majorHAnsi" w:hAnsiTheme="majorHAnsi"/>
          <w:b/>
          <w:sz w:val="22"/>
          <w:szCs w:val="22"/>
        </w:rPr>
        <w:t>Market Trends</w:t>
      </w:r>
    </w:p>
    <w:p w14:paraId="3633F778" w14:textId="78250A80" w:rsidR="005C1481" w:rsidRPr="007E5B04" w:rsidRDefault="00FD05A7" w:rsidP="00082594">
      <w:pPr>
        <w:spacing w:after="200" w:line="276" w:lineRule="auto"/>
        <w:rPr>
          <w:rFonts w:asciiTheme="majorHAnsi" w:hAnsiTheme="majorHAnsi"/>
          <w:b/>
          <w:sz w:val="22"/>
          <w:szCs w:val="22"/>
        </w:rPr>
      </w:pPr>
      <w:r w:rsidRPr="007E5B04">
        <w:rPr>
          <w:rFonts w:asciiTheme="majorHAnsi" w:hAnsiTheme="majorHAnsi"/>
          <w:b/>
          <w:sz w:val="22"/>
          <w:szCs w:val="22"/>
        </w:rPr>
        <w:t>Government Securities (T-Bonds and T-Bills)</w:t>
      </w:r>
    </w:p>
    <w:p w14:paraId="5E3BDDA7" w14:textId="1791FE80" w:rsidR="000F27C1" w:rsidRDefault="00A84E64" w:rsidP="00082594">
      <w:pPr>
        <w:spacing w:after="200" w:line="276" w:lineRule="auto"/>
        <w:rPr>
          <w:rFonts w:asciiTheme="majorHAnsi" w:hAnsiTheme="majorHAnsi"/>
          <w:sz w:val="22"/>
          <w:szCs w:val="22"/>
        </w:rPr>
      </w:pPr>
      <w:r>
        <w:rPr>
          <w:rFonts w:asciiTheme="majorHAnsi" w:hAnsiTheme="majorHAnsi"/>
          <w:sz w:val="22"/>
          <w:szCs w:val="22"/>
        </w:rPr>
        <w:t xml:space="preserve">The biggest positive that has arisen from the directed reforms of the last two decades is the emergence of a reliable and market-responsive yield curve in the government securities market. </w:t>
      </w:r>
      <w:r w:rsidR="00475B76">
        <w:rPr>
          <w:rFonts w:asciiTheme="majorHAnsi" w:hAnsiTheme="majorHAnsi"/>
          <w:sz w:val="22"/>
          <w:szCs w:val="22"/>
        </w:rPr>
        <w:t xml:space="preserve">Although the secondary debt market is still highly illiquid and dominated by a few players, the yields in the secondary markets </w:t>
      </w:r>
      <w:r w:rsidR="00D62DF8">
        <w:rPr>
          <w:rFonts w:asciiTheme="majorHAnsi" w:hAnsiTheme="majorHAnsi"/>
          <w:sz w:val="22"/>
          <w:szCs w:val="22"/>
        </w:rPr>
        <w:t xml:space="preserve">have begun to track the yields in the primary </w:t>
      </w:r>
      <w:r w:rsidR="00D62DF8">
        <w:rPr>
          <w:rFonts w:asciiTheme="majorHAnsi" w:hAnsiTheme="majorHAnsi"/>
          <w:sz w:val="22"/>
          <w:szCs w:val="22"/>
        </w:rPr>
        <w:lastRenderedPageBreak/>
        <w:t xml:space="preserve">markets (ruled by the auction system). Thus, the </w:t>
      </w:r>
      <w:r w:rsidR="00014770">
        <w:rPr>
          <w:rFonts w:asciiTheme="majorHAnsi" w:hAnsiTheme="majorHAnsi"/>
          <w:sz w:val="22"/>
          <w:szCs w:val="22"/>
        </w:rPr>
        <w:t>sovereign yield curve has slowly but reliably emerged as a benchmark for pricing non-governmental issues.</w:t>
      </w:r>
    </w:p>
    <w:p w14:paraId="7D1BA5CB" w14:textId="163084BA" w:rsidR="00FD28E1" w:rsidRDefault="00FD05A7" w:rsidP="00082594">
      <w:pPr>
        <w:spacing w:after="200" w:line="276" w:lineRule="auto"/>
        <w:rPr>
          <w:rFonts w:asciiTheme="majorHAnsi" w:hAnsiTheme="majorHAnsi"/>
          <w:sz w:val="22"/>
          <w:szCs w:val="22"/>
        </w:rPr>
      </w:pPr>
      <w:r>
        <w:rPr>
          <w:rFonts w:asciiTheme="majorHAnsi" w:hAnsiTheme="majorHAnsi"/>
          <w:sz w:val="22"/>
          <w:szCs w:val="22"/>
        </w:rPr>
        <w:t xml:space="preserve">The Indian debt markets are dominated by </w:t>
      </w:r>
      <w:r w:rsidR="00B92D1F">
        <w:rPr>
          <w:rFonts w:asciiTheme="majorHAnsi" w:hAnsiTheme="majorHAnsi"/>
          <w:sz w:val="22"/>
          <w:szCs w:val="22"/>
        </w:rPr>
        <w:t>government securities (both bonds and bills)</w:t>
      </w:r>
      <w:r>
        <w:rPr>
          <w:rFonts w:asciiTheme="majorHAnsi" w:hAnsiTheme="majorHAnsi"/>
          <w:sz w:val="22"/>
          <w:szCs w:val="22"/>
        </w:rPr>
        <w:t xml:space="preserve">, </w:t>
      </w:r>
      <w:r w:rsidR="00C62AC8">
        <w:rPr>
          <w:rFonts w:asciiTheme="majorHAnsi" w:hAnsiTheme="majorHAnsi"/>
          <w:sz w:val="22"/>
          <w:szCs w:val="22"/>
        </w:rPr>
        <w:t xml:space="preserve">which form nearly three-quarters of the total trades in the WDM segment. </w:t>
      </w:r>
      <w:r w:rsidR="00F16A98" w:rsidRPr="00F16A98">
        <w:rPr>
          <w:rFonts w:asciiTheme="majorHAnsi" w:hAnsiTheme="majorHAnsi"/>
          <w:i/>
          <w:sz w:val="22"/>
          <w:szCs w:val="22"/>
        </w:rPr>
        <w:t>(Appendices: Table 2)</w:t>
      </w:r>
      <w:r w:rsidR="00B92D1F">
        <w:rPr>
          <w:rFonts w:asciiTheme="majorHAnsi" w:hAnsiTheme="majorHAnsi"/>
          <w:sz w:val="22"/>
          <w:szCs w:val="22"/>
        </w:rPr>
        <w:t xml:space="preserve"> </w:t>
      </w:r>
      <w:r w:rsidR="00535BC3">
        <w:rPr>
          <w:rFonts w:asciiTheme="majorHAnsi" w:hAnsiTheme="majorHAnsi"/>
          <w:sz w:val="22"/>
          <w:szCs w:val="22"/>
        </w:rPr>
        <w:t xml:space="preserve">Overall, the turnover in government </w:t>
      </w:r>
      <w:r w:rsidR="00AF1235">
        <w:rPr>
          <w:rFonts w:asciiTheme="majorHAnsi" w:hAnsiTheme="majorHAnsi"/>
          <w:sz w:val="22"/>
          <w:szCs w:val="22"/>
        </w:rPr>
        <w:t>bonds</w:t>
      </w:r>
      <w:r w:rsidR="00535BC3">
        <w:rPr>
          <w:rFonts w:asciiTheme="majorHAnsi" w:hAnsiTheme="majorHAnsi"/>
          <w:sz w:val="22"/>
          <w:szCs w:val="22"/>
        </w:rPr>
        <w:t xml:space="preserve"> has grown from IN</w:t>
      </w:r>
      <w:r w:rsidR="00CD6FF5">
        <w:rPr>
          <w:rFonts w:asciiTheme="majorHAnsi" w:hAnsiTheme="majorHAnsi"/>
          <w:sz w:val="22"/>
          <w:szCs w:val="22"/>
        </w:rPr>
        <w:t xml:space="preserve">R 2,833 billion in 1998-99 to INR 183,025 billion in 2014-15, at a </w:t>
      </w:r>
      <w:r w:rsidR="00220A4A">
        <w:rPr>
          <w:rFonts w:asciiTheme="majorHAnsi" w:hAnsiTheme="majorHAnsi"/>
          <w:sz w:val="22"/>
          <w:szCs w:val="22"/>
        </w:rPr>
        <w:t xml:space="preserve">sustained </w:t>
      </w:r>
      <w:r w:rsidR="00CD6FF5">
        <w:rPr>
          <w:rFonts w:asciiTheme="majorHAnsi" w:hAnsiTheme="majorHAnsi"/>
          <w:sz w:val="22"/>
          <w:szCs w:val="22"/>
        </w:rPr>
        <w:t xml:space="preserve">CAGR </w:t>
      </w:r>
      <w:r w:rsidR="00220A4A">
        <w:rPr>
          <w:rFonts w:asciiTheme="majorHAnsi" w:hAnsiTheme="majorHAnsi"/>
          <w:sz w:val="22"/>
          <w:szCs w:val="22"/>
        </w:rPr>
        <w:t>of nearly 28% during this period.</w:t>
      </w:r>
      <w:r w:rsidR="00AF1235">
        <w:rPr>
          <w:rFonts w:asciiTheme="majorHAnsi" w:hAnsiTheme="majorHAnsi"/>
          <w:sz w:val="22"/>
          <w:szCs w:val="22"/>
        </w:rPr>
        <w:t xml:space="preserve"> </w:t>
      </w:r>
    </w:p>
    <w:p w14:paraId="27484298" w14:textId="6837857B" w:rsidR="00FD28E1" w:rsidRDefault="00FD28E1" w:rsidP="00082594">
      <w:pPr>
        <w:spacing w:after="200" w:line="276" w:lineRule="auto"/>
        <w:rPr>
          <w:rFonts w:asciiTheme="majorHAnsi" w:hAnsiTheme="majorHAnsi"/>
          <w:sz w:val="22"/>
          <w:szCs w:val="22"/>
        </w:rPr>
      </w:pPr>
      <w:r w:rsidRPr="00FD28E1">
        <w:rPr>
          <w:noProof/>
        </w:rPr>
        <w:drawing>
          <wp:inline distT="0" distB="0" distL="0" distR="0" wp14:anchorId="3024A8D6" wp14:editId="272A0D84">
            <wp:extent cx="3586689" cy="252306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6689" cy="2523067"/>
                    </a:xfrm>
                    <a:prstGeom prst="rect">
                      <a:avLst/>
                    </a:prstGeom>
                    <a:noFill/>
                    <a:ln>
                      <a:noFill/>
                    </a:ln>
                  </pic:spPr>
                </pic:pic>
              </a:graphicData>
            </a:graphic>
          </wp:inline>
        </w:drawing>
      </w:r>
    </w:p>
    <w:p w14:paraId="1EC46D18" w14:textId="5CD1A232" w:rsidR="00A9230F" w:rsidRDefault="00AF1235" w:rsidP="00082594">
      <w:pPr>
        <w:spacing w:after="200" w:line="276" w:lineRule="auto"/>
        <w:rPr>
          <w:rFonts w:asciiTheme="majorHAnsi" w:hAnsiTheme="majorHAnsi"/>
          <w:sz w:val="22"/>
          <w:szCs w:val="22"/>
        </w:rPr>
      </w:pPr>
      <w:r>
        <w:rPr>
          <w:rFonts w:asciiTheme="majorHAnsi" w:hAnsiTheme="majorHAnsi"/>
          <w:sz w:val="22"/>
          <w:szCs w:val="22"/>
        </w:rPr>
        <w:t xml:space="preserve">The 91-day T-Bill is the most traded near-money instrument, </w:t>
      </w:r>
      <w:r w:rsidR="001323DB">
        <w:rPr>
          <w:rFonts w:asciiTheme="majorHAnsi" w:hAnsiTheme="majorHAnsi"/>
          <w:sz w:val="22"/>
          <w:szCs w:val="22"/>
        </w:rPr>
        <w:t>accounting for more than half the total treasury bill trades</w:t>
      </w:r>
      <w:r w:rsidR="004A7F27">
        <w:rPr>
          <w:rFonts w:asciiTheme="majorHAnsi" w:hAnsiTheme="majorHAnsi"/>
          <w:sz w:val="22"/>
          <w:szCs w:val="22"/>
        </w:rPr>
        <w:t>, with the 364-Day Bill accounting for nearly a third</w:t>
      </w:r>
      <w:r w:rsidR="001323DB">
        <w:rPr>
          <w:rFonts w:asciiTheme="majorHAnsi" w:hAnsiTheme="majorHAnsi"/>
          <w:sz w:val="22"/>
          <w:szCs w:val="22"/>
        </w:rPr>
        <w:t xml:space="preserve">. </w:t>
      </w:r>
      <w:r w:rsidR="009425B3">
        <w:rPr>
          <w:rFonts w:asciiTheme="majorHAnsi" w:hAnsiTheme="majorHAnsi"/>
          <w:sz w:val="22"/>
          <w:szCs w:val="22"/>
        </w:rPr>
        <w:t xml:space="preserve">The turnover in </w:t>
      </w:r>
      <w:r w:rsidR="004A7F27">
        <w:rPr>
          <w:rFonts w:asciiTheme="majorHAnsi" w:hAnsiTheme="majorHAnsi"/>
          <w:sz w:val="22"/>
          <w:szCs w:val="22"/>
        </w:rPr>
        <w:t xml:space="preserve">the 91-Day and the </w:t>
      </w:r>
      <w:r w:rsidR="009425B3">
        <w:rPr>
          <w:rFonts w:asciiTheme="majorHAnsi" w:hAnsiTheme="majorHAnsi"/>
          <w:sz w:val="22"/>
          <w:szCs w:val="22"/>
        </w:rPr>
        <w:t>364-Day T-Bills has</w:t>
      </w:r>
      <w:r w:rsidR="004A7F27">
        <w:rPr>
          <w:rFonts w:asciiTheme="majorHAnsi" w:hAnsiTheme="majorHAnsi"/>
          <w:sz w:val="22"/>
          <w:szCs w:val="22"/>
        </w:rPr>
        <w:t xml:space="preserve"> grown at a CAGR of nearly </w:t>
      </w:r>
      <w:r w:rsidR="009425B3">
        <w:rPr>
          <w:rFonts w:asciiTheme="majorHAnsi" w:hAnsiTheme="majorHAnsi"/>
          <w:sz w:val="22"/>
          <w:szCs w:val="22"/>
        </w:rPr>
        <w:t>20% and 17.5%, respectively,</w:t>
      </w:r>
      <w:r w:rsidR="004A7F27">
        <w:rPr>
          <w:rFonts w:asciiTheme="majorHAnsi" w:hAnsiTheme="majorHAnsi"/>
          <w:sz w:val="22"/>
          <w:szCs w:val="22"/>
        </w:rPr>
        <w:t xml:space="preserve"> </w:t>
      </w:r>
      <w:r w:rsidR="009425B3">
        <w:rPr>
          <w:rFonts w:asciiTheme="majorHAnsi" w:hAnsiTheme="majorHAnsi"/>
          <w:sz w:val="22"/>
          <w:szCs w:val="22"/>
        </w:rPr>
        <w:t xml:space="preserve">over </w:t>
      </w:r>
      <w:r w:rsidR="004A6F13">
        <w:rPr>
          <w:rFonts w:asciiTheme="majorHAnsi" w:hAnsiTheme="majorHAnsi"/>
          <w:sz w:val="22"/>
          <w:szCs w:val="22"/>
        </w:rPr>
        <w:t>1998 – 2015</w:t>
      </w:r>
      <w:r w:rsidR="004A7F27">
        <w:rPr>
          <w:rFonts w:asciiTheme="majorHAnsi" w:hAnsiTheme="majorHAnsi"/>
          <w:sz w:val="22"/>
          <w:szCs w:val="22"/>
        </w:rPr>
        <w:t>.</w:t>
      </w:r>
      <w:r w:rsidR="004A7F27" w:rsidRPr="00F16A98">
        <w:rPr>
          <w:rFonts w:asciiTheme="majorHAnsi" w:hAnsiTheme="majorHAnsi"/>
          <w:i/>
          <w:sz w:val="22"/>
          <w:szCs w:val="22"/>
        </w:rPr>
        <w:t xml:space="preserve"> (</w:t>
      </w:r>
      <w:r w:rsidR="00F16A98" w:rsidRPr="00F16A98">
        <w:rPr>
          <w:rFonts w:asciiTheme="majorHAnsi" w:hAnsiTheme="majorHAnsi"/>
          <w:i/>
          <w:sz w:val="22"/>
          <w:szCs w:val="22"/>
        </w:rPr>
        <w:t>Appendices: Table 2)</w:t>
      </w:r>
    </w:p>
    <w:p w14:paraId="52666E11" w14:textId="317FA0A5" w:rsidR="00B07391" w:rsidRDefault="009E2B78" w:rsidP="00082594">
      <w:pPr>
        <w:spacing w:after="200" w:line="276" w:lineRule="auto"/>
        <w:rPr>
          <w:rFonts w:asciiTheme="majorHAnsi" w:hAnsiTheme="majorHAnsi"/>
          <w:sz w:val="22"/>
          <w:szCs w:val="22"/>
        </w:rPr>
      </w:pPr>
      <w:r w:rsidRPr="009E2B78">
        <w:rPr>
          <w:noProof/>
        </w:rPr>
        <w:drawing>
          <wp:inline distT="0" distB="0" distL="0" distR="0" wp14:anchorId="2DD38661" wp14:editId="1748A62F">
            <wp:extent cx="3600000" cy="2492545"/>
            <wp:effectExtent l="0" t="0" r="6985"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492545"/>
                    </a:xfrm>
                    <a:prstGeom prst="rect">
                      <a:avLst/>
                    </a:prstGeom>
                    <a:noFill/>
                    <a:ln>
                      <a:noFill/>
                    </a:ln>
                  </pic:spPr>
                </pic:pic>
              </a:graphicData>
            </a:graphic>
          </wp:inline>
        </w:drawing>
      </w:r>
    </w:p>
    <w:p w14:paraId="4F6B117A" w14:textId="71C04DE1" w:rsidR="004A7F27" w:rsidRDefault="00052667" w:rsidP="00082594">
      <w:pPr>
        <w:spacing w:after="200" w:line="276" w:lineRule="auto"/>
        <w:rPr>
          <w:rFonts w:asciiTheme="majorHAnsi" w:hAnsiTheme="majorHAnsi"/>
          <w:sz w:val="22"/>
          <w:szCs w:val="22"/>
        </w:rPr>
      </w:pPr>
      <w:r>
        <w:rPr>
          <w:rFonts w:asciiTheme="majorHAnsi" w:hAnsiTheme="majorHAnsi"/>
          <w:sz w:val="22"/>
          <w:szCs w:val="22"/>
        </w:rPr>
        <w:t xml:space="preserve">The total market capitalization of the WDM segment has grown substantially from </w:t>
      </w:r>
      <w:r w:rsidR="008E0385">
        <w:rPr>
          <w:rFonts w:asciiTheme="majorHAnsi" w:hAnsiTheme="majorHAnsi"/>
          <w:sz w:val="22"/>
          <w:szCs w:val="22"/>
        </w:rPr>
        <w:t xml:space="preserve">INR 1,582 billion in 1994-95 to INR 57,892 billion currently, representing a CAGR of </w:t>
      </w:r>
      <w:r w:rsidR="00C46ADA">
        <w:rPr>
          <w:rFonts w:asciiTheme="majorHAnsi" w:hAnsiTheme="majorHAnsi"/>
          <w:sz w:val="22"/>
          <w:szCs w:val="22"/>
        </w:rPr>
        <w:t xml:space="preserve">almost 18%. The average size of the trades executed on the WDM has also increased significantly, from 0.07 billion in 1994-95 to </w:t>
      </w:r>
      <w:r w:rsidR="00925931">
        <w:rPr>
          <w:rFonts w:asciiTheme="majorHAnsi" w:hAnsiTheme="majorHAnsi"/>
          <w:sz w:val="22"/>
          <w:szCs w:val="22"/>
        </w:rPr>
        <w:t>nearly 0.40 billion currently.</w:t>
      </w:r>
      <w:r w:rsidR="00041C29">
        <w:rPr>
          <w:rFonts w:asciiTheme="majorHAnsi" w:hAnsiTheme="majorHAnsi"/>
          <w:sz w:val="22"/>
          <w:szCs w:val="22"/>
        </w:rPr>
        <w:t xml:space="preserve"> </w:t>
      </w:r>
      <w:r w:rsidR="00477CD4" w:rsidRPr="007721B3">
        <w:rPr>
          <w:rFonts w:asciiTheme="majorHAnsi" w:hAnsiTheme="majorHAnsi"/>
          <w:i/>
          <w:sz w:val="22"/>
          <w:szCs w:val="22"/>
        </w:rPr>
        <w:t>(Appendices: Table 3)</w:t>
      </w:r>
      <w:r w:rsidR="00041C29">
        <w:rPr>
          <w:rFonts w:asciiTheme="majorHAnsi" w:hAnsiTheme="majorHAnsi"/>
          <w:sz w:val="22"/>
          <w:szCs w:val="22"/>
        </w:rPr>
        <w:t xml:space="preserve"> </w:t>
      </w:r>
    </w:p>
    <w:p w14:paraId="7AAC7CFE" w14:textId="48F4CC3A" w:rsidR="00925931" w:rsidRPr="007E5B04" w:rsidRDefault="00A15915" w:rsidP="00082594">
      <w:pPr>
        <w:spacing w:after="200" w:line="276" w:lineRule="auto"/>
        <w:rPr>
          <w:rFonts w:asciiTheme="majorHAnsi" w:hAnsiTheme="majorHAnsi"/>
          <w:b/>
          <w:sz w:val="22"/>
          <w:szCs w:val="22"/>
        </w:rPr>
      </w:pPr>
      <w:r w:rsidRPr="007E5B04">
        <w:rPr>
          <w:rFonts w:asciiTheme="majorHAnsi" w:hAnsiTheme="majorHAnsi"/>
          <w:b/>
          <w:sz w:val="22"/>
          <w:szCs w:val="22"/>
        </w:rPr>
        <w:lastRenderedPageBreak/>
        <w:t>Corporate Bonds</w:t>
      </w:r>
    </w:p>
    <w:p w14:paraId="4E986F5B" w14:textId="6EA8EB7A" w:rsidR="00A15915" w:rsidRDefault="004A5AA7" w:rsidP="00082594">
      <w:pPr>
        <w:spacing w:after="200" w:line="276" w:lineRule="auto"/>
        <w:rPr>
          <w:rFonts w:asciiTheme="majorHAnsi" w:hAnsiTheme="majorHAnsi"/>
          <w:sz w:val="22"/>
          <w:szCs w:val="22"/>
        </w:rPr>
      </w:pPr>
      <w:r>
        <w:rPr>
          <w:rFonts w:asciiTheme="majorHAnsi" w:hAnsiTheme="majorHAnsi"/>
          <w:sz w:val="22"/>
          <w:szCs w:val="22"/>
        </w:rPr>
        <w:t>The corporate bond market in India, although growing cons</w:t>
      </w:r>
      <w:r w:rsidR="00353C42">
        <w:rPr>
          <w:rFonts w:asciiTheme="majorHAnsi" w:hAnsiTheme="majorHAnsi"/>
          <w:sz w:val="22"/>
          <w:szCs w:val="22"/>
        </w:rPr>
        <w:t>istently</w:t>
      </w:r>
      <w:r w:rsidR="009D76EE">
        <w:rPr>
          <w:rFonts w:asciiTheme="majorHAnsi" w:hAnsiTheme="majorHAnsi"/>
          <w:sz w:val="22"/>
          <w:szCs w:val="22"/>
        </w:rPr>
        <w:t xml:space="preserve"> and being supported by well-developed infrastructure</w:t>
      </w:r>
      <w:r w:rsidR="00353C42">
        <w:rPr>
          <w:rFonts w:asciiTheme="majorHAnsi" w:hAnsiTheme="majorHAnsi"/>
          <w:sz w:val="22"/>
          <w:szCs w:val="22"/>
        </w:rPr>
        <w:t xml:space="preserve">, still lags significantly behind the equity markets. Additionally, corporate issues are characterized by </w:t>
      </w:r>
      <w:r w:rsidR="00C42AF4">
        <w:rPr>
          <w:rFonts w:asciiTheme="majorHAnsi" w:hAnsiTheme="majorHAnsi"/>
          <w:sz w:val="22"/>
          <w:szCs w:val="22"/>
        </w:rPr>
        <w:t xml:space="preserve">a handful of players (mainly private placements), are largely driven by arbitrage and are still substantially illiquid. </w:t>
      </w:r>
    </w:p>
    <w:p w14:paraId="615E9E14" w14:textId="35CD1CD7" w:rsidR="009D76EE" w:rsidRDefault="00E37F27" w:rsidP="00082594">
      <w:pPr>
        <w:spacing w:after="200" w:line="276" w:lineRule="auto"/>
        <w:rPr>
          <w:rFonts w:asciiTheme="majorHAnsi" w:hAnsiTheme="majorHAnsi"/>
          <w:sz w:val="22"/>
          <w:szCs w:val="22"/>
        </w:rPr>
      </w:pPr>
      <w:r>
        <w:rPr>
          <w:rFonts w:asciiTheme="majorHAnsi" w:hAnsiTheme="majorHAnsi"/>
          <w:sz w:val="22"/>
          <w:szCs w:val="22"/>
        </w:rPr>
        <w:t>Thus, of the total trades on the WDM, corporate paper forms less</w:t>
      </w:r>
      <w:r w:rsidR="000F5377">
        <w:rPr>
          <w:rFonts w:asciiTheme="majorHAnsi" w:hAnsiTheme="majorHAnsi"/>
          <w:sz w:val="22"/>
          <w:szCs w:val="22"/>
        </w:rPr>
        <w:t xml:space="preserve"> than 10%. However, the actual volume of trades has increased rapidly over 2011-2015, from INR 1,936 billion in 2011-12 to INR 8,866 billion in 2014-15, at a CAGR of </w:t>
      </w:r>
      <w:r w:rsidR="008000E9">
        <w:rPr>
          <w:rFonts w:asciiTheme="majorHAnsi" w:hAnsiTheme="majorHAnsi"/>
          <w:sz w:val="22"/>
          <w:szCs w:val="22"/>
        </w:rPr>
        <w:t>over 45%.</w:t>
      </w:r>
      <w:r w:rsidR="008000E9" w:rsidRPr="001E32CE">
        <w:rPr>
          <w:rFonts w:asciiTheme="majorHAnsi" w:hAnsiTheme="majorHAnsi"/>
          <w:i/>
          <w:sz w:val="22"/>
          <w:szCs w:val="22"/>
        </w:rPr>
        <w:t xml:space="preserve"> </w:t>
      </w:r>
      <w:r w:rsidR="001E32CE" w:rsidRPr="001E32CE">
        <w:rPr>
          <w:rFonts w:asciiTheme="majorHAnsi" w:hAnsiTheme="majorHAnsi"/>
          <w:i/>
          <w:sz w:val="22"/>
          <w:szCs w:val="22"/>
        </w:rPr>
        <w:t>(Appendices: Table 4)</w:t>
      </w:r>
    </w:p>
    <w:p w14:paraId="2B71E6E2" w14:textId="77777777" w:rsidR="008000E9" w:rsidRPr="00082594" w:rsidRDefault="008000E9" w:rsidP="00082594">
      <w:pPr>
        <w:spacing w:after="200" w:line="276" w:lineRule="auto"/>
        <w:rPr>
          <w:rFonts w:asciiTheme="majorHAnsi" w:hAnsiTheme="majorHAnsi"/>
          <w:sz w:val="22"/>
          <w:szCs w:val="22"/>
        </w:rPr>
      </w:pPr>
    </w:p>
    <w:p w14:paraId="2C512831" w14:textId="77777777" w:rsidR="00783D44" w:rsidRDefault="00783D44" w:rsidP="00BC7AD7">
      <w:pPr>
        <w:spacing w:after="200" w:line="276" w:lineRule="auto"/>
        <w:rPr>
          <w:rFonts w:asciiTheme="majorHAnsi" w:hAnsiTheme="majorHAnsi"/>
          <w:sz w:val="22"/>
          <w:szCs w:val="22"/>
        </w:rPr>
      </w:pPr>
    </w:p>
    <w:p w14:paraId="440F6AD3" w14:textId="4A7AA9CC" w:rsidR="00884CBA" w:rsidRDefault="00884CBA">
      <w:pPr>
        <w:rPr>
          <w:rFonts w:asciiTheme="majorHAnsi" w:hAnsiTheme="majorHAnsi"/>
          <w:sz w:val="22"/>
          <w:szCs w:val="22"/>
        </w:rPr>
      </w:pPr>
      <w:r>
        <w:rPr>
          <w:rFonts w:asciiTheme="majorHAnsi" w:hAnsiTheme="majorHAnsi"/>
          <w:sz w:val="22"/>
          <w:szCs w:val="22"/>
        </w:rPr>
        <w:br w:type="page"/>
      </w:r>
    </w:p>
    <w:p w14:paraId="1973D369" w14:textId="77777777" w:rsidR="00243E22" w:rsidRPr="006140E7" w:rsidRDefault="00243E22" w:rsidP="006140E7">
      <w:pPr>
        <w:pStyle w:val="Heading3"/>
        <w:rPr>
          <w:color w:val="auto"/>
        </w:rPr>
      </w:pPr>
      <w:bookmarkStart w:id="3" w:name="_Toc306840563"/>
      <w:r w:rsidRPr="006140E7">
        <w:rPr>
          <w:color w:val="auto"/>
        </w:rPr>
        <w:lastRenderedPageBreak/>
        <w:t>II. Equity Markets</w:t>
      </w:r>
      <w:bookmarkEnd w:id="3"/>
    </w:p>
    <w:p w14:paraId="7D157CFA" w14:textId="0B07C844" w:rsidR="00AD46FD" w:rsidRDefault="00E61142" w:rsidP="006140E7">
      <w:pPr>
        <w:spacing w:before="80" w:after="200" w:line="276" w:lineRule="auto"/>
        <w:rPr>
          <w:rFonts w:asciiTheme="majorHAnsi" w:hAnsiTheme="majorHAnsi"/>
          <w:sz w:val="22"/>
          <w:szCs w:val="22"/>
        </w:rPr>
      </w:pPr>
      <w:r>
        <w:rPr>
          <w:rFonts w:asciiTheme="majorHAnsi" w:hAnsiTheme="majorHAnsi"/>
          <w:sz w:val="22"/>
          <w:szCs w:val="22"/>
        </w:rPr>
        <w:t>The equity market in Indi</w:t>
      </w:r>
      <w:r w:rsidR="001E577D">
        <w:rPr>
          <w:rFonts w:asciiTheme="majorHAnsi" w:hAnsiTheme="majorHAnsi"/>
          <w:sz w:val="22"/>
          <w:szCs w:val="22"/>
        </w:rPr>
        <w:t>a was first established in 1875</w:t>
      </w:r>
      <w:r>
        <w:rPr>
          <w:rFonts w:asciiTheme="majorHAnsi" w:hAnsiTheme="majorHAnsi"/>
          <w:sz w:val="22"/>
          <w:szCs w:val="22"/>
        </w:rPr>
        <w:t xml:space="preserve"> with the formation of </w:t>
      </w:r>
      <w:r w:rsidR="000232AF">
        <w:rPr>
          <w:rFonts w:asciiTheme="majorHAnsi" w:hAnsiTheme="majorHAnsi"/>
          <w:sz w:val="22"/>
          <w:szCs w:val="22"/>
        </w:rPr>
        <w:t xml:space="preserve">the BSE (it was known </w:t>
      </w:r>
      <w:r w:rsidR="001E577D">
        <w:rPr>
          <w:rFonts w:asciiTheme="majorHAnsi" w:hAnsiTheme="majorHAnsi"/>
          <w:sz w:val="22"/>
          <w:szCs w:val="22"/>
        </w:rPr>
        <w:t xml:space="preserve">as </w:t>
      </w:r>
      <w:r w:rsidR="000232AF">
        <w:rPr>
          <w:rFonts w:asciiTheme="majorHAnsi" w:hAnsiTheme="majorHAnsi"/>
          <w:sz w:val="22"/>
          <w:szCs w:val="22"/>
        </w:rPr>
        <w:t xml:space="preserve">the </w:t>
      </w:r>
      <w:r w:rsidR="001E577D">
        <w:rPr>
          <w:rFonts w:asciiTheme="majorHAnsi" w:hAnsiTheme="majorHAnsi"/>
          <w:sz w:val="22"/>
          <w:szCs w:val="22"/>
        </w:rPr>
        <w:t>“</w:t>
      </w:r>
      <w:r w:rsidR="000232AF">
        <w:rPr>
          <w:rFonts w:asciiTheme="majorHAnsi" w:hAnsiTheme="majorHAnsi"/>
          <w:sz w:val="22"/>
          <w:szCs w:val="22"/>
        </w:rPr>
        <w:t>Native Share and Stock Brokers’ Association</w:t>
      </w:r>
      <w:r w:rsidR="001E577D">
        <w:rPr>
          <w:rFonts w:asciiTheme="majorHAnsi" w:hAnsiTheme="majorHAnsi"/>
          <w:sz w:val="22"/>
          <w:szCs w:val="22"/>
        </w:rPr>
        <w:t>”</w:t>
      </w:r>
      <w:r w:rsidR="000232AF">
        <w:rPr>
          <w:rFonts w:asciiTheme="majorHAnsi" w:hAnsiTheme="majorHAnsi"/>
          <w:sz w:val="22"/>
          <w:szCs w:val="22"/>
        </w:rPr>
        <w:t xml:space="preserve"> at inception). </w:t>
      </w:r>
      <w:r w:rsidR="002A4F6C">
        <w:rPr>
          <w:rFonts w:asciiTheme="majorHAnsi" w:hAnsiTheme="majorHAnsi"/>
          <w:sz w:val="22"/>
          <w:szCs w:val="22"/>
        </w:rPr>
        <w:t>However, for most that twentieth century, the equity markets in India were characterized by illiquidity, broker control, and plagued by insider trading scams</w:t>
      </w:r>
      <w:r w:rsidR="000232AF">
        <w:rPr>
          <w:rFonts w:asciiTheme="majorHAnsi" w:hAnsiTheme="majorHAnsi"/>
          <w:sz w:val="22"/>
          <w:szCs w:val="22"/>
        </w:rPr>
        <w:t xml:space="preserve"> </w:t>
      </w:r>
      <w:r w:rsidR="00543D63">
        <w:rPr>
          <w:rFonts w:asciiTheme="majorHAnsi" w:hAnsiTheme="majorHAnsi"/>
          <w:sz w:val="22"/>
          <w:szCs w:val="22"/>
        </w:rPr>
        <w:t xml:space="preserve">and regulatory issues. The real reforms in the stock bourses began after the NEP, when the NSE was established in 1992. Currently, </w:t>
      </w:r>
      <w:r w:rsidR="003918FC">
        <w:rPr>
          <w:rFonts w:asciiTheme="majorHAnsi" w:hAnsiTheme="majorHAnsi"/>
          <w:sz w:val="22"/>
          <w:szCs w:val="22"/>
        </w:rPr>
        <w:t xml:space="preserve">the NSE commands the lion’s share of trades – almost 75% in the spot market and over 95% in derivative trading. </w:t>
      </w:r>
      <w:r w:rsidR="000F0FB4">
        <w:rPr>
          <w:rFonts w:asciiTheme="majorHAnsi" w:hAnsiTheme="majorHAnsi"/>
          <w:sz w:val="22"/>
          <w:szCs w:val="22"/>
        </w:rPr>
        <w:t xml:space="preserve">Although the BSE has nearly three times the number of listed firms </w:t>
      </w:r>
      <w:r w:rsidR="00AD46FD">
        <w:rPr>
          <w:rFonts w:asciiTheme="majorHAnsi" w:hAnsiTheme="majorHAnsi"/>
          <w:sz w:val="22"/>
          <w:szCs w:val="22"/>
        </w:rPr>
        <w:t>compared to the NSE, less than ten percent of those are traded regularly, while the bulk are highly illiquid counters.</w:t>
      </w:r>
    </w:p>
    <w:p w14:paraId="5E8C4379" w14:textId="77777777" w:rsidR="005E24EB" w:rsidRDefault="00D9379C" w:rsidP="00243E22">
      <w:pPr>
        <w:spacing w:after="200" w:line="276" w:lineRule="auto"/>
        <w:rPr>
          <w:rFonts w:asciiTheme="majorHAnsi" w:hAnsiTheme="majorHAnsi"/>
          <w:sz w:val="22"/>
          <w:szCs w:val="22"/>
        </w:rPr>
      </w:pPr>
      <w:r w:rsidRPr="00A044A1">
        <w:rPr>
          <w:rFonts w:asciiTheme="majorHAnsi" w:hAnsiTheme="majorHAnsi"/>
          <w:b/>
          <w:sz w:val="22"/>
          <w:szCs w:val="22"/>
        </w:rPr>
        <w:t>Trading mechanisms:</w:t>
      </w:r>
      <w:r>
        <w:rPr>
          <w:rFonts w:asciiTheme="majorHAnsi" w:hAnsiTheme="majorHAnsi"/>
          <w:sz w:val="22"/>
          <w:szCs w:val="22"/>
        </w:rPr>
        <w:t xml:space="preserve"> Both the exchanges use what is known as an ‘open electronic</w:t>
      </w:r>
      <w:r w:rsidR="00CC1CA6">
        <w:rPr>
          <w:rFonts w:asciiTheme="majorHAnsi" w:hAnsiTheme="majorHAnsi"/>
          <w:sz w:val="22"/>
          <w:szCs w:val="22"/>
        </w:rPr>
        <w:t xml:space="preserve"> limit order book’, wherein orders are matched automatically and anonymously by the system, depending on the limits. Thus, all buyers and sellers remain anonymous, and this system ensures </w:t>
      </w:r>
      <w:r w:rsidR="005E24EB">
        <w:rPr>
          <w:rFonts w:asciiTheme="majorHAnsi" w:hAnsiTheme="majorHAnsi"/>
          <w:sz w:val="22"/>
          <w:szCs w:val="22"/>
        </w:rPr>
        <w:t>greater transparency overall.</w:t>
      </w:r>
    </w:p>
    <w:p w14:paraId="69B6AED5" w14:textId="77777777" w:rsidR="00492375" w:rsidRDefault="004E2E5D" w:rsidP="00243E22">
      <w:pPr>
        <w:spacing w:after="200" w:line="276" w:lineRule="auto"/>
        <w:rPr>
          <w:rFonts w:asciiTheme="majorHAnsi" w:hAnsiTheme="majorHAnsi"/>
          <w:sz w:val="22"/>
          <w:szCs w:val="22"/>
        </w:rPr>
      </w:pPr>
      <w:r w:rsidRPr="00A044A1">
        <w:rPr>
          <w:rFonts w:asciiTheme="majorHAnsi" w:hAnsiTheme="majorHAnsi"/>
          <w:b/>
          <w:sz w:val="22"/>
          <w:szCs w:val="22"/>
        </w:rPr>
        <w:t>Trading and settlement cycle:</w:t>
      </w:r>
      <w:r>
        <w:rPr>
          <w:rFonts w:asciiTheme="majorHAnsi" w:hAnsiTheme="majorHAnsi"/>
          <w:sz w:val="22"/>
          <w:szCs w:val="22"/>
        </w:rPr>
        <w:t xml:space="preserve"> </w:t>
      </w:r>
      <w:r w:rsidR="00782F26">
        <w:rPr>
          <w:rFonts w:asciiTheme="majorHAnsi" w:hAnsiTheme="majorHAnsi"/>
          <w:sz w:val="22"/>
          <w:szCs w:val="22"/>
        </w:rPr>
        <w:t xml:space="preserve">The trading cycle on the Indian bourses is one business week, and the spot markets follow a T+2 days rolling settlement cycle. Additionally, all trades are now compulsorily dematerialized and </w:t>
      </w:r>
      <w:r w:rsidR="009F7B80">
        <w:rPr>
          <w:rFonts w:asciiTheme="majorHAnsi" w:hAnsiTheme="majorHAnsi"/>
          <w:sz w:val="22"/>
          <w:szCs w:val="22"/>
        </w:rPr>
        <w:t>all counterparty risk is assumed by the two main clearing houses, NSDL and CDSL.</w:t>
      </w:r>
    </w:p>
    <w:p w14:paraId="02A16E89" w14:textId="0A91CAE9" w:rsidR="004E251F" w:rsidRDefault="00242D87" w:rsidP="00243E22">
      <w:pPr>
        <w:spacing w:after="200" w:line="276" w:lineRule="auto"/>
        <w:rPr>
          <w:rFonts w:asciiTheme="majorHAnsi" w:hAnsiTheme="majorHAnsi"/>
          <w:sz w:val="22"/>
          <w:szCs w:val="22"/>
        </w:rPr>
      </w:pPr>
      <w:r w:rsidRPr="00A044A1">
        <w:rPr>
          <w:rFonts w:asciiTheme="majorHAnsi" w:hAnsiTheme="majorHAnsi"/>
          <w:b/>
          <w:sz w:val="22"/>
          <w:szCs w:val="22"/>
        </w:rPr>
        <w:t>Trading hours:</w:t>
      </w:r>
      <w:r>
        <w:rPr>
          <w:rFonts w:asciiTheme="majorHAnsi" w:hAnsiTheme="majorHAnsi"/>
          <w:sz w:val="22"/>
          <w:szCs w:val="22"/>
        </w:rPr>
        <w:t xml:space="preserve"> </w:t>
      </w:r>
      <w:r w:rsidR="00EB2FBC">
        <w:rPr>
          <w:rFonts w:asciiTheme="majorHAnsi" w:hAnsiTheme="majorHAnsi"/>
          <w:sz w:val="22"/>
          <w:szCs w:val="22"/>
        </w:rPr>
        <w:t xml:space="preserve">The regular trading session </w:t>
      </w:r>
      <w:r w:rsidR="00796F0C">
        <w:rPr>
          <w:rFonts w:asciiTheme="majorHAnsi" w:hAnsiTheme="majorHAnsi"/>
          <w:sz w:val="22"/>
          <w:szCs w:val="22"/>
        </w:rPr>
        <w:t>on both the bours</w:t>
      </w:r>
      <w:r w:rsidR="005200A5">
        <w:rPr>
          <w:rFonts w:asciiTheme="majorHAnsi" w:hAnsiTheme="majorHAnsi"/>
          <w:sz w:val="22"/>
          <w:szCs w:val="22"/>
        </w:rPr>
        <w:t xml:space="preserve">es is from 0930 IST to 1530 IST, Mondays through </w:t>
      </w:r>
      <w:r w:rsidR="004E251F">
        <w:rPr>
          <w:rFonts w:asciiTheme="majorHAnsi" w:hAnsiTheme="majorHAnsi"/>
          <w:sz w:val="22"/>
          <w:szCs w:val="22"/>
        </w:rPr>
        <w:t xml:space="preserve">Fridays (except </w:t>
      </w:r>
      <w:r w:rsidR="00014BA8">
        <w:rPr>
          <w:rFonts w:asciiTheme="majorHAnsi" w:hAnsiTheme="majorHAnsi"/>
          <w:sz w:val="22"/>
          <w:szCs w:val="22"/>
        </w:rPr>
        <w:t>trading</w:t>
      </w:r>
      <w:r w:rsidR="004E251F">
        <w:rPr>
          <w:rFonts w:asciiTheme="majorHAnsi" w:hAnsiTheme="majorHAnsi"/>
          <w:sz w:val="22"/>
          <w:szCs w:val="22"/>
        </w:rPr>
        <w:t xml:space="preserve"> holidays).</w:t>
      </w:r>
    </w:p>
    <w:p w14:paraId="16368FC4" w14:textId="77777777" w:rsidR="00576D96" w:rsidRPr="00576D96" w:rsidRDefault="00576D96" w:rsidP="00243E22">
      <w:pPr>
        <w:spacing w:after="200" w:line="276" w:lineRule="auto"/>
        <w:rPr>
          <w:rFonts w:asciiTheme="majorHAnsi" w:hAnsiTheme="majorHAnsi"/>
          <w:b/>
          <w:sz w:val="22"/>
          <w:szCs w:val="22"/>
        </w:rPr>
      </w:pPr>
      <w:r w:rsidRPr="00576D96">
        <w:rPr>
          <w:rFonts w:asciiTheme="majorHAnsi" w:hAnsiTheme="majorHAnsi"/>
          <w:b/>
          <w:sz w:val="22"/>
          <w:szCs w:val="22"/>
        </w:rPr>
        <w:t>Major indexes on the BSE and the NSE:</w:t>
      </w:r>
    </w:p>
    <w:p w14:paraId="1544C863" w14:textId="77777777" w:rsidR="00E21BFC" w:rsidRPr="00734434" w:rsidRDefault="00E21BFC" w:rsidP="00E21BFC">
      <w:pPr>
        <w:spacing w:after="200" w:line="276" w:lineRule="auto"/>
        <w:rPr>
          <w:rFonts w:asciiTheme="majorHAnsi" w:hAnsiTheme="majorHAnsi"/>
          <w:b/>
          <w:sz w:val="22"/>
          <w:szCs w:val="22"/>
        </w:rPr>
      </w:pPr>
      <w:r w:rsidRPr="00734434">
        <w:rPr>
          <w:rFonts w:asciiTheme="majorHAnsi" w:hAnsiTheme="majorHAnsi"/>
          <w:b/>
          <w:sz w:val="22"/>
          <w:szCs w:val="22"/>
        </w:rPr>
        <w:t>NSE</w:t>
      </w:r>
    </w:p>
    <w:p w14:paraId="0AC83A83" w14:textId="77777777" w:rsidR="00E21BFC" w:rsidRDefault="00E21BFC" w:rsidP="00E21BFC">
      <w:pPr>
        <w:spacing w:after="200" w:line="276" w:lineRule="auto"/>
        <w:rPr>
          <w:rFonts w:asciiTheme="majorHAnsi" w:hAnsiTheme="majorHAnsi"/>
          <w:sz w:val="22"/>
          <w:szCs w:val="22"/>
        </w:rPr>
      </w:pPr>
      <w:r>
        <w:rPr>
          <w:rFonts w:asciiTheme="majorHAnsi" w:hAnsiTheme="majorHAnsi"/>
          <w:sz w:val="22"/>
          <w:szCs w:val="22"/>
        </w:rPr>
        <w:t>The CNX Nifty: The main index of the NSE, this consists of 50 of the largest and most liquid stocks from 13 economic sectors, and represents nearly two-thirds of the free-float market capitalization of the total stocks listed on the bourse. Other important indices on the NSE include :</w:t>
      </w:r>
    </w:p>
    <w:p w14:paraId="3E795E13" w14:textId="77777777" w:rsidR="00E21BFC" w:rsidRPr="00F03F4F" w:rsidRDefault="00E21BFC" w:rsidP="00E21BFC">
      <w:pPr>
        <w:pStyle w:val="ListParagraph"/>
        <w:numPr>
          <w:ilvl w:val="0"/>
          <w:numId w:val="7"/>
        </w:numPr>
        <w:spacing w:after="200" w:line="276" w:lineRule="auto"/>
        <w:rPr>
          <w:rFonts w:asciiTheme="majorHAnsi" w:hAnsiTheme="majorHAnsi"/>
          <w:sz w:val="22"/>
          <w:szCs w:val="22"/>
        </w:rPr>
      </w:pPr>
      <w:r w:rsidRPr="00F03F4F">
        <w:rPr>
          <w:rFonts w:asciiTheme="majorHAnsi" w:hAnsiTheme="majorHAnsi"/>
          <w:sz w:val="22"/>
          <w:szCs w:val="22"/>
        </w:rPr>
        <w:t>The CNX Nifty Junior (which consists of the next 50 most liquid stocks on the NSE, representing around 12% of the free-float market cap)</w:t>
      </w:r>
      <w:r>
        <w:rPr>
          <w:rFonts w:asciiTheme="majorHAnsi" w:hAnsiTheme="majorHAnsi"/>
          <w:sz w:val="22"/>
          <w:szCs w:val="22"/>
        </w:rPr>
        <w:t>.</w:t>
      </w:r>
    </w:p>
    <w:p w14:paraId="511AD85E" w14:textId="77777777" w:rsidR="00E21BFC" w:rsidRPr="00F03F4F" w:rsidRDefault="00E21BFC" w:rsidP="00E21BFC">
      <w:pPr>
        <w:pStyle w:val="ListParagraph"/>
        <w:numPr>
          <w:ilvl w:val="0"/>
          <w:numId w:val="7"/>
        </w:numPr>
        <w:spacing w:after="200" w:line="276" w:lineRule="auto"/>
        <w:rPr>
          <w:rFonts w:asciiTheme="majorHAnsi" w:hAnsiTheme="majorHAnsi"/>
          <w:sz w:val="22"/>
          <w:szCs w:val="22"/>
        </w:rPr>
      </w:pPr>
      <w:r w:rsidRPr="00F03F4F">
        <w:rPr>
          <w:rFonts w:asciiTheme="majorHAnsi" w:hAnsiTheme="majorHAnsi"/>
          <w:sz w:val="22"/>
          <w:szCs w:val="22"/>
        </w:rPr>
        <w:t>The CNX Midcap (representing almost 14% of the free-float market cap)</w:t>
      </w:r>
      <w:r>
        <w:rPr>
          <w:rFonts w:asciiTheme="majorHAnsi" w:hAnsiTheme="majorHAnsi"/>
          <w:sz w:val="22"/>
          <w:szCs w:val="22"/>
        </w:rPr>
        <w:t>.</w:t>
      </w:r>
    </w:p>
    <w:p w14:paraId="0DEB6358" w14:textId="77777777" w:rsidR="00E21BFC" w:rsidRPr="00F03F4F" w:rsidRDefault="00E21BFC" w:rsidP="00E21BFC">
      <w:pPr>
        <w:pStyle w:val="ListParagraph"/>
        <w:numPr>
          <w:ilvl w:val="0"/>
          <w:numId w:val="7"/>
        </w:numPr>
        <w:spacing w:after="200" w:line="276" w:lineRule="auto"/>
        <w:rPr>
          <w:rFonts w:asciiTheme="majorHAnsi" w:hAnsiTheme="majorHAnsi"/>
          <w:sz w:val="22"/>
          <w:szCs w:val="22"/>
        </w:rPr>
      </w:pPr>
      <w:r w:rsidRPr="00F03F4F">
        <w:rPr>
          <w:rFonts w:asciiTheme="majorHAnsi" w:hAnsiTheme="majorHAnsi"/>
          <w:sz w:val="22"/>
          <w:szCs w:val="22"/>
        </w:rPr>
        <w:t>The CNX Smallcap (comprising of 100 of the smallest, frequently-traded companies, and representing almost 3% of the free-float market-cap)</w:t>
      </w:r>
      <w:r>
        <w:rPr>
          <w:rFonts w:asciiTheme="majorHAnsi" w:hAnsiTheme="majorHAnsi"/>
          <w:sz w:val="22"/>
          <w:szCs w:val="22"/>
        </w:rPr>
        <w:t>.</w:t>
      </w:r>
    </w:p>
    <w:p w14:paraId="114EC0BD" w14:textId="790AE6ED" w:rsidR="00E21BFC" w:rsidRPr="00E21BFC" w:rsidRDefault="00E21BFC" w:rsidP="00243E22">
      <w:pPr>
        <w:pStyle w:val="ListParagraph"/>
        <w:numPr>
          <w:ilvl w:val="0"/>
          <w:numId w:val="7"/>
        </w:numPr>
        <w:spacing w:after="200" w:line="276" w:lineRule="auto"/>
        <w:rPr>
          <w:rFonts w:asciiTheme="majorHAnsi" w:hAnsiTheme="majorHAnsi"/>
          <w:sz w:val="22"/>
          <w:szCs w:val="22"/>
        </w:rPr>
      </w:pPr>
      <w:r w:rsidRPr="00F03F4F">
        <w:rPr>
          <w:rFonts w:asciiTheme="majorHAnsi" w:hAnsiTheme="majorHAnsi"/>
          <w:sz w:val="22"/>
          <w:szCs w:val="22"/>
        </w:rPr>
        <w:t>The CNX 500 (a broad-based benchmark representing almost 96% of the free-float market cap).</w:t>
      </w:r>
    </w:p>
    <w:p w14:paraId="34CA5F59" w14:textId="52B8B44B" w:rsidR="00734434" w:rsidRPr="00734434" w:rsidRDefault="00734434" w:rsidP="00243E22">
      <w:pPr>
        <w:spacing w:after="200" w:line="276" w:lineRule="auto"/>
        <w:rPr>
          <w:rFonts w:asciiTheme="majorHAnsi" w:hAnsiTheme="majorHAnsi"/>
          <w:b/>
          <w:sz w:val="22"/>
          <w:szCs w:val="22"/>
        </w:rPr>
      </w:pPr>
      <w:r w:rsidRPr="00734434">
        <w:rPr>
          <w:rFonts w:asciiTheme="majorHAnsi" w:hAnsiTheme="majorHAnsi"/>
          <w:b/>
          <w:sz w:val="22"/>
          <w:szCs w:val="22"/>
        </w:rPr>
        <w:t>BSE</w:t>
      </w:r>
    </w:p>
    <w:p w14:paraId="736BE3B1" w14:textId="526E1328" w:rsidR="00CD44A1" w:rsidRDefault="00A20E09" w:rsidP="00243E22">
      <w:pPr>
        <w:spacing w:after="200" w:line="276" w:lineRule="auto"/>
        <w:rPr>
          <w:rFonts w:asciiTheme="majorHAnsi" w:hAnsiTheme="majorHAnsi"/>
          <w:sz w:val="22"/>
          <w:szCs w:val="22"/>
        </w:rPr>
      </w:pPr>
      <w:r>
        <w:rPr>
          <w:rFonts w:asciiTheme="majorHAnsi" w:hAnsiTheme="majorHAnsi"/>
          <w:sz w:val="22"/>
          <w:szCs w:val="22"/>
        </w:rPr>
        <w:t>The S&amp;P BSE Sensex</w:t>
      </w:r>
      <w:r w:rsidR="000C72B6">
        <w:rPr>
          <w:rFonts w:asciiTheme="majorHAnsi" w:hAnsiTheme="majorHAnsi"/>
          <w:sz w:val="22"/>
          <w:szCs w:val="22"/>
        </w:rPr>
        <w:t xml:space="preserve">: The main index of the BSE, this consists of </w:t>
      </w:r>
      <w:r w:rsidR="00CD44A1">
        <w:rPr>
          <w:rFonts w:asciiTheme="majorHAnsi" w:hAnsiTheme="majorHAnsi"/>
          <w:sz w:val="22"/>
          <w:szCs w:val="22"/>
        </w:rPr>
        <w:t>30 of the largest and</w:t>
      </w:r>
      <w:r w:rsidR="00936D9A">
        <w:rPr>
          <w:rFonts w:asciiTheme="majorHAnsi" w:hAnsiTheme="majorHAnsi"/>
          <w:sz w:val="22"/>
          <w:szCs w:val="22"/>
        </w:rPr>
        <w:t xml:space="preserve"> most liquid </w:t>
      </w:r>
      <w:r w:rsidR="00E21BFC">
        <w:rPr>
          <w:rFonts w:asciiTheme="majorHAnsi" w:hAnsiTheme="majorHAnsi"/>
          <w:sz w:val="22"/>
          <w:szCs w:val="22"/>
        </w:rPr>
        <w:t>stocks</w:t>
      </w:r>
      <w:r w:rsidR="00B96AA2">
        <w:rPr>
          <w:rFonts w:asciiTheme="majorHAnsi" w:hAnsiTheme="majorHAnsi"/>
          <w:sz w:val="22"/>
          <w:szCs w:val="22"/>
        </w:rPr>
        <w:t xml:space="preserve"> in India, and represents almost half of the bourse’s free-float market capitalization.</w:t>
      </w:r>
      <w:r w:rsidR="00D32D83">
        <w:rPr>
          <w:rFonts w:asciiTheme="majorHAnsi" w:hAnsiTheme="majorHAnsi"/>
          <w:sz w:val="22"/>
          <w:szCs w:val="22"/>
        </w:rPr>
        <w:t xml:space="preserve"> Other important indices on the BSE include:</w:t>
      </w:r>
    </w:p>
    <w:p w14:paraId="2A4F75BC" w14:textId="2D702528" w:rsidR="00D32D83" w:rsidRPr="00E21BFC" w:rsidRDefault="00D32D83" w:rsidP="00E21BFC">
      <w:pPr>
        <w:pStyle w:val="ListParagraph"/>
        <w:numPr>
          <w:ilvl w:val="0"/>
          <w:numId w:val="8"/>
        </w:numPr>
        <w:spacing w:after="200" w:line="276" w:lineRule="auto"/>
        <w:rPr>
          <w:rFonts w:asciiTheme="majorHAnsi" w:hAnsiTheme="majorHAnsi"/>
          <w:sz w:val="22"/>
          <w:szCs w:val="22"/>
        </w:rPr>
      </w:pPr>
      <w:r w:rsidRPr="00E21BFC">
        <w:rPr>
          <w:rFonts w:asciiTheme="majorHAnsi" w:hAnsiTheme="majorHAnsi"/>
          <w:sz w:val="22"/>
          <w:szCs w:val="22"/>
        </w:rPr>
        <w:lastRenderedPageBreak/>
        <w:t xml:space="preserve">The S&amp;P BSE 100 (which consists of the </w:t>
      </w:r>
      <w:r w:rsidR="00E21BFC" w:rsidRPr="00E21BFC">
        <w:rPr>
          <w:rFonts w:asciiTheme="majorHAnsi" w:hAnsiTheme="majorHAnsi"/>
          <w:sz w:val="22"/>
          <w:szCs w:val="22"/>
        </w:rPr>
        <w:t xml:space="preserve">top </w:t>
      </w:r>
      <w:r w:rsidRPr="00E21BFC">
        <w:rPr>
          <w:rFonts w:asciiTheme="majorHAnsi" w:hAnsiTheme="majorHAnsi"/>
          <w:sz w:val="22"/>
          <w:szCs w:val="22"/>
        </w:rPr>
        <w:t>100 companies listed on the BSE, according to market cap</w:t>
      </w:r>
      <w:r w:rsidR="00E21BFC" w:rsidRPr="00E21BFC">
        <w:rPr>
          <w:rFonts w:asciiTheme="majorHAnsi" w:hAnsiTheme="majorHAnsi"/>
          <w:sz w:val="22"/>
          <w:szCs w:val="22"/>
        </w:rPr>
        <w:t xml:space="preserve"> and liquidity of their counters</w:t>
      </w:r>
      <w:r w:rsidRPr="00E21BFC">
        <w:rPr>
          <w:rFonts w:asciiTheme="majorHAnsi" w:hAnsiTheme="majorHAnsi"/>
          <w:sz w:val="22"/>
          <w:szCs w:val="22"/>
        </w:rPr>
        <w:t>).</w:t>
      </w:r>
    </w:p>
    <w:p w14:paraId="56CE58CF" w14:textId="6816CB7D" w:rsidR="00D32D83" w:rsidRPr="00E21BFC" w:rsidRDefault="00E21BFC" w:rsidP="00E21BFC">
      <w:pPr>
        <w:pStyle w:val="ListParagraph"/>
        <w:numPr>
          <w:ilvl w:val="0"/>
          <w:numId w:val="8"/>
        </w:numPr>
        <w:spacing w:after="200" w:line="276" w:lineRule="auto"/>
        <w:rPr>
          <w:rFonts w:asciiTheme="majorHAnsi" w:hAnsiTheme="majorHAnsi"/>
          <w:sz w:val="22"/>
          <w:szCs w:val="22"/>
        </w:rPr>
      </w:pPr>
      <w:r w:rsidRPr="00E21BFC">
        <w:rPr>
          <w:rFonts w:asciiTheme="majorHAnsi" w:hAnsiTheme="majorHAnsi"/>
          <w:sz w:val="22"/>
          <w:szCs w:val="22"/>
        </w:rPr>
        <w:t>The S&amp;P BSE 200 (which consists of the top 200 companies listed on the BSE, according to market cap and liquidity of their counters).</w:t>
      </w:r>
    </w:p>
    <w:p w14:paraId="4848A288" w14:textId="77777777" w:rsidR="00542CAB" w:rsidRPr="00542CAB" w:rsidRDefault="00542CAB" w:rsidP="00243E22">
      <w:pPr>
        <w:spacing w:after="200" w:line="276" w:lineRule="auto"/>
        <w:rPr>
          <w:rFonts w:asciiTheme="majorHAnsi" w:hAnsiTheme="majorHAnsi"/>
          <w:b/>
          <w:sz w:val="22"/>
          <w:szCs w:val="22"/>
        </w:rPr>
      </w:pPr>
      <w:r w:rsidRPr="00542CAB">
        <w:rPr>
          <w:rFonts w:asciiTheme="majorHAnsi" w:hAnsiTheme="majorHAnsi"/>
          <w:b/>
          <w:sz w:val="22"/>
          <w:szCs w:val="22"/>
        </w:rPr>
        <w:t>Foreign Investments in India:</w:t>
      </w:r>
    </w:p>
    <w:p w14:paraId="4B1D588D" w14:textId="77777777" w:rsidR="00542CAB" w:rsidRDefault="00542CAB" w:rsidP="00243E22">
      <w:pPr>
        <w:spacing w:after="200" w:line="276" w:lineRule="auto"/>
        <w:rPr>
          <w:rFonts w:asciiTheme="majorHAnsi" w:hAnsiTheme="majorHAnsi"/>
          <w:sz w:val="22"/>
          <w:szCs w:val="22"/>
        </w:rPr>
      </w:pPr>
      <w:r>
        <w:rPr>
          <w:rFonts w:asciiTheme="majorHAnsi" w:hAnsiTheme="majorHAnsi"/>
          <w:sz w:val="22"/>
          <w:szCs w:val="22"/>
        </w:rPr>
        <w:t>The two main routes for foreign players to invest in Indian companies are:</w:t>
      </w:r>
    </w:p>
    <w:p w14:paraId="7E82A9A1" w14:textId="6F1D640E" w:rsidR="005B7878" w:rsidRPr="005B7878" w:rsidRDefault="00542CAB" w:rsidP="005B7878">
      <w:pPr>
        <w:pStyle w:val="ListParagraph"/>
        <w:numPr>
          <w:ilvl w:val="0"/>
          <w:numId w:val="6"/>
        </w:numPr>
        <w:spacing w:after="200" w:line="276" w:lineRule="auto"/>
        <w:rPr>
          <w:rFonts w:asciiTheme="majorHAnsi" w:hAnsiTheme="majorHAnsi"/>
          <w:sz w:val="22"/>
          <w:szCs w:val="22"/>
        </w:rPr>
      </w:pPr>
      <w:r w:rsidRPr="005B7878">
        <w:rPr>
          <w:rFonts w:asciiTheme="majorHAnsi" w:hAnsiTheme="majorHAnsi"/>
          <w:sz w:val="22"/>
          <w:szCs w:val="22"/>
        </w:rPr>
        <w:t xml:space="preserve">Foreign Direct Investment (FDI): </w:t>
      </w:r>
      <w:r w:rsidR="00396E0E" w:rsidRPr="005B7878">
        <w:rPr>
          <w:rFonts w:asciiTheme="majorHAnsi" w:hAnsiTheme="majorHAnsi"/>
          <w:sz w:val="22"/>
          <w:szCs w:val="22"/>
        </w:rPr>
        <w:t xml:space="preserve">Any investment in a company that exceeds 10% of its paid-up equity capital is classified as an FDI. </w:t>
      </w:r>
      <w:r w:rsidR="000C54CD" w:rsidRPr="005B7878">
        <w:rPr>
          <w:rFonts w:asciiTheme="majorHAnsi" w:hAnsiTheme="majorHAnsi"/>
          <w:sz w:val="22"/>
          <w:szCs w:val="22"/>
        </w:rPr>
        <w:t>Currently, 100% FDI is allowed in a number of sectors, with 74% cap on private banks, and 49% on defense companies</w:t>
      </w:r>
      <w:r w:rsidR="00D91F7F" w:rsidRPr="005B7878">
        <w:rPr>
          <w:rFonts w:asciiTheme="majorHAnsi" w:hAnsiTheme="majorHAnsi"/>
          <w:sz w:val="22"/>
          <w:szCs w:val="22"/>
        </w:rPr>
        <w:t>, insurance companies,</w:t>
      </w:r>
      <w:r w:rsidR="000C54CD" w:rsidRPr="005B7878">
        <w:rPr>
          <w:rFonts w:asciiTheme="majorHAnsi" w:hAnsiTheme="majorHAnsi"/>
          <w:sz w:val="22"/>
          <w:szCs w:val="22"/>
        </w:rPr>
        <w:t xml:space="preserve"> </w:t>
      </w:r>
      <w:r w:rsidR="00397FDE" w:rsidRPr="005B7878">
        <w:rPr>
          <w:rFonts w:asciiTheme="majorHAnsi" w:hAnsiTheme="majorHAnsi"/>
          <w:sz w:val="22"/>
          <w:szCs w:val="22"/>
        </w:rPr>
        <w:t xml:space="preserve">clearing corporations, stocks exchanges, depositories </w:t>
      </w:r>
      <w:r w:rsidR="000C54CD" w:rsidRPr="005B7878">
        <w:rPr>
          <w:rFonts w:asciiTheme="majorHAnsi" w:hAnsiTheme="majorHAnsi"/>
          <w:sz w:val="22"/>
          <w:szCs w:val="22"/>
        </w:rPr>
        <w:t xml:space="preserve">and </w:t>
      </w:r>
      <w:r w:rsidR="00D91F7F" w:rsidRPr="005B7878">
        <w:rPr>
          <w:rFonts w:asciiTheme="majorHAnsi" w:hAnsiTheme="majorHAnsi"/>
          <w:sz w:val="22"/>
          <w:szCs w:val="22"/>
        </w:rPr>
        <w:t xml:space="preserve">commodity exchanges. </w:t>
      </w:r>
    </w:p>
    <w:p w14:paraId="7AF16878" w14:textId="3EDA0D28" w:rsidR="003D58A3" w:rsidRPr="003D58A3" w:rsidRDefault="005B7878" w:rsidP="003D58A3">
      <w:pPr>
        <w:pStyle w:val="ListParagraph"/>
        <w:numPr>
          <w:ilvl w:val="0"/>
          <w:numId w:val="6"/>
        </w:numPr>
        <w:spacing w:after="200" w:line="276" w:lineRule="auto"/>
        <w:rPr>
          <w:rFonts w:asciiTheme="majorHAnsi" w:hAnsiTheme="majorHAnsi"/>
          <w:sz w:val="22"/>
          <w:szCs w:val="22"/>
        </w:rPr>
      </w:pPr>
      <w:r w:rsidRPr="003D58A3">
        <w:rPr>
          <w:rFonts w:asciiTheme="majorHAnsi" w:hAnsiTheme="majorHAnsi"/>
          <w:sz w:val="22"/>
          <w:szCs w:val="22"/>
        </w:rPr>
        <w:t xml:space="preserve">Foreign Institutional Investors (FII) or Foreign Portfolio Investors (FPI): </w:t>
      </w:r>
      <w:r w:rsidR="008566C7" w:rsidRPr="003D58A3">
        <w:rPr>
          <w:rFonts w:asciiTheme="majorHAnsi" w:hAnsiTheme="majorHAnsi"/>
          <w:sz w:val="22"/>
          <w:szCs w:val="22"/>
        </w:rPr>
        <w:t xml:space="preserve">Investors that purchase the stock in a company, up to </w:t>
      </w:r>
      <w:r w:rsidR="00680660">
        <w:rPr>
          <w:rFonts w:asciiTheme="majorHAnsi" w:hAnsiTheme="majorHAnsi"/>
          <w:sz w:val="22"/>
          <w:szCs w:val="22"/>
        </w:rPr>
        <w:t xml:space="preserve">a maximum </w:t>
      </w:r>
      <w:r w:rsidR="008566C7" w:rsidRPr="003D58A3">
        <w:rPr>
          <w:rFonts w:asciiTheme="majorHAnsi" w:hAnsiTheme="majorHAnsi"/>
          <w:sz w:val="22"/>
          <w:szCs w:val="22"/>
        </w:rPr>
        <w:t>10% of its paid-up equity capital</w:t>
      </w:r>
      <w:r w:rsidR="00680660">
        <w:rPr>
          <w:rFonts w:asciiTheme="majorHAnsi" w:hAnsiTheme="majorHAnsi"/>
          <w:sz w:val="22"/>
          <w:szCs w:val="22"/>
        </w:rPr>
        <w:t xml:space="preserve"> per foreign entity</w:t>
      </w:r>
      <w:r w:rsidR="008566C7" w:rsidRPr="003D58A3">
        <w:rPr>
          <w:rFonts w:asciiTheme="majorHAnsi" w:hAnsiTheme="majorHAnsi"/>
          <w:sz w:val="22"/>
          <w:szCs w:val="22"/>
        </w:rPr>
        <w:t xml:space="preserve">, through the stock market route. </w:t>
      </w:r>
      <w:r w:rsidR="003D58A3">
        <w:rPr>
          <w:rFonts w:asciiTheme="majorHAnsi" w:hAnsiTheme="majorHAnsi"/>
          <w:sz w:val="22"/>
          <w:szCs w:val="22"/>
        </w:rPr>
        <w:t>Currently, India does not allow individual (retail) foreign investors to participate on the domestic bourses. They can, however, subscribe to ADR / GDR issues for participating companies</w:t>
      </w:r>
      <w:r w:rsidR="00E82B7B">
        <w:rPr>
          <w:rFonts w:asciiTheme="majorHAnsi" w:hAnsiTheme="majorHAnsi"/>
          <w:sz w:val="22"/>
          <w:szCs w:val="22"/>
        </w:rPr>
        <w:t>, or invest in India-specific mutual funds</w:t>
      </w:r>
      <w:r w:rsidR="003D58A3">
        <w:rPr>
          <w:rFonts w:asciiTheme="majorHAnsi" w:hAnsiTheme="majorHAnsi"/>
          <w:sz w:val="22"/>
          <w:szCs w:val="22"/>
        </w:rPr>
        <w:t xml:space="preserve">. </w:t>
      </w:r>
      <w:r w:rsidR="00FA7C98" w:rsidRPr="003D58A3">
        <w:rPr>
          <w:rFonts w:asciiTheme="majorHAnsi" w:hAnsiTheme="majorHAnsi"/>
          <w:sz w:val="22"/>
          <w:szCs w:val="22"/>
        </w:rPr>
        <w:t xml:space="preserve">The net investment by FIIs has increased from INR 0.04 billion in 1992-93 to </w:t>
      </w:r>
      <w:r w:rsidR="00EA761C" w:rsidRPr="003D58A3">
        <w:rPr>
          <w:rFonts w:asciiTheme="majorHAnsi" w:hAnsiTheme="majorHAnsi"/>
          <w:sz w:val="22"/>
          <w:szCs w:val="22"/>
        </w:rPr>
        <w:t>INR 1,102 billion in 2014-15.</w:t>
      </w:r>
      <w:r w:rsidR="00C91BDD">
        <w:rPr>
          <w:rFonts w:asciiTheme="majorHAnsi" w:hAnsiTheme="majorHAnsi"/>
          <w:sz w:val="22"/>
          <w:szCs w:val="22"/>
        </w:rPr>
        <w:t xml:space="preserve"> </w:t>
      </w:r>
      <w:r w:rsidR="00A41F30" w:rsidRPr="00A41F30">
        <w:rPr>
          <w:rFonts w:asciiTheme="majorHAnsi" w:hAnsiTheme="majorHAnsi"/>
          <w:i/>
          <w:sz w:val="22"/>
          <w:szCs w:val="22"/>
        </w:rPr>
        <w:t>(Appendices: Table 5)</w:t>
      </w:r>
    </w:p>
    <w:p w14:paraId="7C80FD0A" w14:textId="6ED238B0" w:rsidR="001B2650" w:rsidRDefault="001B2650" w:rsidP="003D58A3">
      <w:pPr>
        <w:spacing w:after="200" w:line="276" w:lineRule="auto"/>
        <w:rPr>
          <w:rFonts w:asciiTheme="majorHAnsi" w:hAnsiTheme="majorHAnsi"/>
          <w:sz w:val="22"/>
          <w:szCs w:val="22"/>
        </w:rPr>
      </w:pPr>
      <w:r w:rsidRPr="001B2650">
        <w:rPr>
          <w:noProof/>
        </w:rPr>
        <w:drawing>
          <wp:inline distT="0" distB="0" distL="0" distR="0" wp14:anchorId="19E88FFE" wp14:editId="2E5B8FEC">
            <wp:extent cx="3600000" cy="2520000"/>
            <wp:effectExtent l="0" t="0" r="6985"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a:ln>
                      <a:noFill/>
                    </a:ln>
                  </pic:spPr>
                </pic:pic>
              </a:graphicData>
            </a:graphic>
          </wp:inline>
        </w:drawing>
      </w:r>
    </w:p>
    <w:p w14:paraId="2BE5335B" w14:textId="1A41C513" w:rsidR="00EA761C" w:rsidRPr="003D58A3" w:rsidRDefault="00EA761C" w:rsidP="003D58A3">
      <w:pPr>
        <w:spacing w:after="200" w:line="276" w:lineRule="auto"/>
        <w:rPr>
          <w:rFonts w:asciiTheme="majorHAnsi" w:hAnsiTheme="majorHAnsi"/>
          <w:sz w:val="22"/>
          <w:szCs w:val="22"/>
        </w:rPr>
      </w:pPr>
      <w:r w:rsidRPr="003D58A3">
        <w:rPr>
          <w:rFonts w:asciiTheme="majorHAnsi" w:hAnsiTheme="majorHAnsi"/>
          <w:sz w:val="22"/>
          <w:szCs w:val="22"/>
        </w:rPr>
        <w:t xml:space="preserve">The most significant reform regarding foreign investments </w:t>
      </w:r>
      <w:r w:rsidR="00234E57" w:rsidRPr="003D58A3">
        <w:rPr>
          <w:rFonts w:asciiTheme="majorHAnsi" w:hAnsiTheme="majorHAnsi"/>
          <w:sz w:val="22"/>
          <w:szCs w:val="22"/>
        </w:rPr>
        <w:t xml:space="preserve">in Indian companies </w:t>
      </w:r>
      <w:r w:rsidRPr="003D58A3">
        <w:rPr>
          <w:rFonts w:asciiTheme="majorHAnsi" w:hAnsiTheme="majorHAnsi"/>
          <w:sz w:val="22"/>
          <w:szCs w:val="22"/>
        </w:rPr>
        <w:t>has been the removal of a cap that served as a ‘limit within the limit’, and which defined a further cap within the 100%</w:t>
      </w:r>
      <w:r w:rsidR="00AC22AE" w:rsidRPr="003D58A3">
        <w:rPr>
          <w:rFonts w:asciiTheme="majorHAnsi" w:hAnsiTheme="majorHAnsi"/>
          <w:sz w:val="22"/>
          <w:szCs w:val="22"/>
        </w:rPr>
        <w:t xml:space="preserve"> FDI limit, depending on the type of investment (FDI or FII / FPI</w:t>
      </w:r>
      <w:r w:rsidR="00570CBD" w:rsidRPr="003D58A3">
        <w:rPr>
          <w:rFonts w:asciiTheme="majorHAnsi" w:hAnsiTheme="majorHAnsi"/>
          <w:sz w:val="22"/>
          <w:szCs w:val="22"/>
        </w:rPr>
        <w:t>)</w:t>
      </w:r>
      <w:r w:rsidR="00AC22AE" w:rsidRPr="003D58A3">
        <w:rPr>
          <w:rFonts w:asciiTheme="majorHAnsi" w:hAnsiTheme="majorHAnsi"/>
          <w:sz w:val="22"/>
          <w:szCs w:val="22"/>
        </w:rPr>
        <w:t>. This has been replaced by a ‘composite cap’, which makes no distinction between the different routes used by foreign investors and, instead, merely caps the overall investment depending on the sector</w:t>
      </w:r>
      <w:r w:rsidR="009A4F40" w:rsidRPr="003D58A3">
        <w:rPr>
          <w:rFonts w:asciiTheme="majorHAnsi" w:hAnsiTheme="majorHAnsi"/>
          <w:sz w:val="22"/>
          <w:szCs w:val="22"/>
        </w:rPr>
        <w:t xml:space="preserve"> (with two exceptions: defense and banking)</w:t>
      </w:r>
      <w:r w:rsidR="00AC22AE" w:rsidRPr="003D58A3">
        <w:rPr>
          <w:rFonts w:asciiTheme="majorHAnsi" w:hAnsiTheme="majorHAnsi"/>
          <w:sz w:val="22"/>
          <w:szCs w:val="22"/>
        </w:rPr>
        <w:t>.</w:t>
      </w:r>
    </w:p>
    <w:p w14:paraId="7C44F159" w14:textId="77777777" w:rsidR="00364531" w:rsidRDefault="00364531">
      <w:pPr>
        <w:rPr>
          <w:rFonts w:asciiTheme="majorHAnsi" w:hAnsiTheme="majorHAnsi"/>
          <w:b/>
          <w:sz w:val="22"/>
          <w:szCs w:val="22"/>
        </w:rPr>
      </w:pPr>
      <w:r>
        <w:rPr>
          <w:rFonts w:asciiTheme="majorHAnsi" w:hAnsiTheme="majorHAnsi"/>
          <w:b/>
          <w:sz w:val="22"/>
          <w:szCs w:val="22"/>
        </w:rPr>
        <w:br w:type="page"/>
      </w:r>
    </w:p>
    <w:p w14:paraId="515D94A1" w14:textId="3C03E3BF" w:rsidR="00E04B3E" w:rsidRPr="003E55A6" w:rsidRDefault="00E04B3E" w:rsidP="00E04B3E">
      <w:pPr>
        <w:spacing w:after="200" w:line="276" w:lineRule="auto"/>
        <w:rPr>
          <w:rFonts w:asciiTheme="majorHAnsi" w:hAnsiTheme="majorHAnsi"/>
          <w:b/>
          <w:sz w:val="22"/>
          <w:szCs w:val="22"/>
        </w:rPr>
      </w:pPr>
      <w:r w:rsidRPr="003E55A6">
        <w:rPr>
          <w:rFonts w:asciiTheme="majorHAnsi" w:hAnsiTheme="majorHAnsi"/>
          <w:b/>
          <w:sz w:val="22"/>
          <w:szCs w:val="22"/>
        </w:rPr>
        <w:lastRenderedPageBreak/>
        <w:t>Shareholding Patterns</w:t>
      </w:r>
    </w:p>
    <w:p w14:paraId="0E1BD5C9" w14:textId="632703E1" w:rsidR="00E04B3E" w:rsidRDefault="00E04B3E" w:rsidP="00E04B3E">
      <w:pPr>
        <w:spacing w:after="200" w:line="276" w:lineRule="auto"/>
        <w:rPr>
          <w:rFonts w:asciiTheme="majorHAnsi" w:hAnsiTheme="majorHAnsi"/>
          <w:sz w:val="22"/>
          <w:szCs w:val="22"/>
        </w:rPr>
      </w:pPr>
      <w:r>
        <w:rPr>
          <w:rFonts w:asciiTheme="majorHAnsi" w:hAnsiTheme="majorHAnsi"/>
          <w:sz w:val="22"/>
          <w:szCs w:val="22"/>
        </w:rPr>
        <w:t xml:space="preserve">One of the peculiarities of listed Indian companies is the nature of the shareholding – the average promoter holding stands at almost 50%, leaving only half the total paid-up equity capital of a company liquid for institutional and retail investors. Furthermore, retail or individual holdings are, on an average, at a low 12%, limiting the trading participation across investor classes. The average foreign participation in Indian companies is around 4%, with Service-based industries attracting the highest chunk at 10% of their overall equity capital. </w:t>
      </w:r>
      <w:r w:rsidR="0039278C" w:rsidRPr="0039278C">
        <w:rPr>
          <w:rFonts w:asciiTheme="majorHAnsi" w:hAnsiTheme="majorHAnsi"/>
          <w:i/>
          <w:sz w:val="22"/>
          <w:szCs w:val="22"/>
        </w:rPr>
        <w:t>(Appendices: Table 6)</w:t>
      </w:r>
    </w:p>
    <w:p w14:paraId="5CE525B5" w14:textId="77777777" w:rsidR="00E04B3E" w:rsidRPr="00E10EFC" w:rsidRDefault="00E04B3E" w:rsidP="00E04B3E">
      <w:pPr>
        <w:spacing w:after="200" w:line="276" w:lineRule="auto"/>
        <w:rPr>
          <w:rFonts w:asciiTheme="majorHAnsi" w:hAnsiTheme="majorHAnsi"/>
          <w:b/>
          <w:sz w:val="22"/>
          <w:szCs w:val="22"/>
        </w:rPr>
      </w:pPr>
      <w:r w:rsidRPr="00E10EFC">
        <w:rPr>
          <w:rFonts w:asciiTheme="majorHAnsi" w:hAnsiTheme="majorHAnsi"/>
          <w:b/>
          <w:sz w:val="22"/>
          <w:szCs w:val="22"/>
        </w:rPr>
        <w:t>Funds Mobilization in the Primary Markets</w:t>
      </w:r>
    </w:p>
    <w:p w14:paraId="4D304F43" w14:textId="420A7815" w:rsidR="00E04B3E" w:rsidRPr="00E04B3E" w:rsidRDefault="00E04B3E" w:rsidP="00EA761C">
      <w:pPr>
        <w:spacing w:after="200" w:line="276" w:lineRule="auto"/>
        <w:rPr>
          <w:rFonts w:asciiTheme="majorHAnsi" w:hAnsiTheme="majorHAnsi"/>
          <w:sz w:val="22"/>
          <w:szCs w:val="22"/>
        </w:rPr>
      </w:pPr>
      <w:r>
        <w:rPr>
          <w:rFonts w:asciiTheme="majorHAnsi" w:hAnsiTheme="majorHAnsi"/>
          <w:sz w:val="22"/>
          <w:szCs w:val="22"/>
        </w:rPr>
        <w:t>The nature of funds raised in the primary markets by Indian companies has undergone a fundamental shift over the past few years. As retail participation has faded in the IPO market, more companies are resorting to Qualified Institutional Placements (QIPs) and Preferential Allotments. As a result, the amount raised through QIPs has increased from INR 21.54 billion in 2011-12 to INR 280.14 billion in 2014-15, while that raised through preferential allotments has increased from INR 228.86 billion in 2011-12 to INR 535.23 billion in 2013-14 (it has dipped to INR 194.56 billion in 2014-15). The overall IPO market in India remains depressed, with the total volume dropping from INR 62.89 billion in 2012-13 to INR 14.62 billion in 2014-15. Lastly, although the total funds mobilized increased from INR 665.03 billion in 2011-12 to INR 1,027.13 in 2013-14, they have fallen drastically to INR 628.08 billion in 2014-15.</w:t>
      </w:r>
      <w:r w:rsidR="00160D2D" w:rsidRPr="00090248">
        <w:rPr>
          <w:rFonts w:asciiTheme="majorHAnsi" w:hAnsiTheme="majorHAnsi"/>
          <w:i/>
          <w:sz w:val="22"/>
          <w:szCs w:val="22"/>
        </w:rPr>
        <w:t xml:space="preserve"> </w:t>
      </w:r>
      <w:r w:rsidR="00090248" w:rsidRPr="00090248">
        <w:rPr>
          <w:rFonts w:asciiTheme="majorHAnsi" w:hAnsiTheme="majorHAnsi"/>
          <w:i/>
          <w:sz w:val="22"/>
          <w:szCs w:val="22"/>
        </w:rPr>
        <w:t>(Appendices: Table 7)</w:t>
      </w:r>
    </w:p>
    <w:p w14:paraId="3A156267" w14:textId="330A63A6" w:rsidR="00AC22AE" w:rsidRPr="001671F0" w:rsidRDefault="001671F0" w:rsidP="00EA761C">
      <w:pPr>
        <w:spacing w:after="200" w:line="276" w:lineRule="auto"/>
        <w:rPr>
          <w:rFonts w:asciiTheme="majorHAnsi" w:hAnsiTheme="majorHAnsi"/>
          <w:b/>
          <w:sz w:val="22"/>
          <w:szCs w:val="22"/>
        </w:rPr>
      </w:pPr>
      <w:r w:rsidRPr="001671F0">
        <w:rPr>
          <w:rFonts w:asciiTheme="majorHAnsi" w:hAnsiTheme="majorHAnsi"/>
          <w:b/>
          <w:sz w:val="22"/>
          <w:szCs w:val="22"/>
        </w:rPr>
        <w:t>Market Trends</w:t>
      </w:r>
    </w:p>
    <w:p w14:paraId="6B3B71DD" w14:textId="77777777" w:rsidR="00160D2D" w:rsidRDefault="008C0BC4" w:rsidP="00EA761C">
      <w:pPr>
        <w:spacing w:after="200" w:line="276" w:lineRule="auto"/>
        <w:rPr>
          <w:rFonts w:asciiTheme="majorHAnsi" w:hAnsiTheme="majorHAnsi"/>
          <w:sz w:val="22"/>
          <w:szCs w:val="22"/>
        </w:rPr>
      </w:pPr>
      <w:r>
        <w:rPr>
          <w:rFonts w:asciiTheme="majorHAnsi" w:hAnsiTheme="majorHAnsi"/>
          <w:sz w:val="22"/>
          <w:szCs w:val="22"/>
        </w:rPr>
        <w:t xml:space="preserve">The </w:t>
      </w:r>
      <w:r w:rsidR="00134EAC">
        <w:rPr>
          <w:rFonts w:asciiTheme="majorHAnsi" w:hAnsiTheme="majorHAnsi"/>
          <w:sz w:val="22"/>
          <w:szCs w:val="22"/>
        </w:rPr>
        <w:t xml:space="preserve">Indian bourses have been direct beneficiaries of the </w:t>
      </w:r>
      <w:r>
        <w:rPr>
          <w:rFonts w:asciiTheme="majorHAnsi" w:hAnsiTheme="majorHAnsi"/>
          <w:sz w:val="22"/>
          <w:szCs w:val="22"/>
        </w:rPr>
        <w:t xml:space="preserve">NEP and subsequent </w:t>
      </w:r>
      <w:r w:rsidR="00134EAC">
        <w:rPr>
          <w:rFonts w:asciiTheme="majorHAnsi" w:hAnsiTheme="majorHAnsi"/>
          <w:sz w:val="22"/>
          <w:szCs w:val="22"/>
        </w:rPr>
        <w:t xml:space="preserve">economic </w:t>
      </w:r>
      <w:r>
        <w:rPr>
          <w:rFonts w:asciiTheme="majorHAnsi" w:hAnsiTheme="majorHAnsi"/>
          <w:sz w:val="22"/>
          <w:szCs w:val="22"/>
        </w:rPr>
        <w:t>reforms</w:t>
      </w:r>
      <w:r w:rsidR="00134EAC">
        <w:rPr>
          <w:rFonts w:asciiTheme="majorHAnsi" w:hAnsiTheme="majorHAnsi"/>
          <w:sz w:val="22"/>
          <w:szCs w:val="22"/>
        </w:rPr>
        <w:t xml:space="preserve"> – turnover on the NSE has increased from a mere INR 18 billion in 1994-95 (the first year of trading) to INR 43,258 billion in 2014-15, representing a CAGR of almost 45%. </w:t>
      </w:r>
    </w:p>
    <w:p w14:paraId="3256DB3C" w14:textId="3B119BDE" w:rsidR="00160D2D" w:rsidRDefault="00160D2D" w:rsidP="00EA761C">
      <w:pPr>
        <w:spacing w:after="200" w:line="276" w:lineRule="auto"/>
        <w:rPr>
          <w:rFonts w:asciiTheme="majorHAnsi" w:hAnsiTheme="majorHAnsi"/>
          <w:sz w:val="22"/>
          <w:szCs w:val="22"/>
        </w:rPr>
      </w:pPr>
      <w:r w:rsidRPr="00160D2D">
        <w:rPr>
          <w:noProof/>
        </w:rPr>
        <w:drawing>
          <wp:inline distT="0" distB="0" distL="0" distR="0" wp14:anchorId="659B3815" wp14:editId="3047CB76">
            <wp:extent cx="3600000" cy="2517970"/>
            <wp:effectExtent l="0" t="0" r="6985"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517970"/>
                    </a:xfrm>
                    <a:prstGeom prst="rect">
                      <a:avLst/>
                    </a:prstGeom>
                    <a:noFill/>
                    <a:ln>
                      <a:noFill/>
                    </a:ln>
                  </pic:spPr>
                </pic:pic>
              </a:graphicData>
            </a:graphic>
          </wp:inline>
        </w:drawing>
      </w:r>
    </w:p>
    <w:p w14:paraId="57BBC9D1" w14:textId="77777777" w:rsidR="00FE5557" w:rsidRDefault="00FE5557">
      <w:pPr>
        <w:rPr>
          <w:rFonts w:asciiTheme="majorHAnsi" w:hAnsiTheme="majorHAnsi"/>
          <w:sz w:val="22"/>
          <w:szCs w:val="22"/>
        </w:rPr>
      </w:pPr>
      <w:r>
        <w:rPr>
          <w:rFonts w:asciiTheme="majorHAnsi" w:hAnsiTheme="majorHAnsi"/>
          <w:sz w:val="22"/>
          <w:szCs w:val="22"/>
        </w:rPr>
        <w:br w:type="page"/>
      </w:r>
    </w:p>
    <w:p w14:paraId="53B71E18" w14:textId="490D3521" w:rsidR="001671F0" w:rsidRDefault="001202BC" w:rsidP="00EA761C">
      <w:pPr>
        <w:spacing w:after="200" w:line="276" w:lineRule="auto"/>
        <w:rPr>
          <w:rFonts w:asciiTheme="majorHAnsi" w:hAnsiTheme="majorHAnsi"/>
          <w:sz w:val="22"/>
          <w:szCs w:val="22"/>
        </w:rPr>
      </w:pPr>
      <w:r>
        <w:rPr>
          <w:rFonts w:asciiTheme="majorHAnsi" w:hAnsiTheme="majorHAnsi"/>
          <w:sz w:val="22"/>
          <w:szCs w:val="22"/>
        </w:rPr>
        <w:lastRenderedPageBreak/>
        <w:t xml:space="preserve">Although the BSE was the first exchange in India, it has lagged the NSE in no insubstantial terms, growing in turnover from INR 677 billion in 1994-95 to INR 5,217 billion in 2013-14, at a CAGR of 11%. </w:t>
      </w:r>
      <w:r w:rsidR="00806F5F">
        <w:rPr>
          <w:rFonts w:asciiTheme="majorHAnsi" w:hAnsiTheme="majorHAnsi"/>
          <w:sz w:val="22"/>
          <w:szCs w:val="22"/>
        </w:rPr>
        <w:t xml:space="preserve">Additionally, the BSE has been steadily losing turnover after the global financial crisis, as more and more participants switch to trading on the NSE. </w:t>
      </w:r>
      <w:r w:rsidR="00270760">
        <w:rPr>
          <w:rFonts w:asciiTheme="majorHAnsi" w:hAnsiTheme="majorHAnsi"/>
          <w:sz w:val="22"/>
          <w:szCs w:val="22"/>
        </w:rPr>
        <w:t>In terms of overall market capitalization, although the BSE nominally outpaces the NSE, at INR 101,493 billion compared to INR 99,301 billion in 2014-15, a large part of this is fr</w:t>
      </w:r>
      <w:r w:rsidR="002D764A">
        <w:rPr>
          <w:rFonts w:asciiTheme="majorHAnsi" w:hAnsiTheme="majorHAnsi"/>
          <w:sz w:val="22"/>
          <w:szCs w:val="22"/>
        </w:rPr>
        <w:t>om illiquid counters in the BSE</w:t>
      </w:r>
      <w:r w:rsidR="00270760">
        <w:rPr>
          <w:rFonts w:asciiTheme="majorHAnsi" w:hAnsiTheme="majorHAnsi"/>
          <w:sz w:val="22"/>
          <w:szCs w:val="22"/>
        </w:rPr>
        <w:t xml:space="preserve"> and from a number of </w:t>
      </w:r>
      <w:r w:rsidR="002D764A">
        <w:rPr>
          <w:rFonts w:asciiTheme="majorHAnsi" w:hAnsiTheme="majorHAnsi"/>
          <w:sz w:val="22"/>
          <w:szCs w:val="22"/>
        </w:rPr>
        <w:t xml:space="preserve">the so-called ‘Z-Category’ shares which are </w:t>
      </w:r>
      <w:r w:rsidR="00073082">
        <w:rPr>
          <w:rFonts w:asciiTheme="majorHAnsi" w:hAnsiTheme="majorHAnsi"/>
          <w:sz w:val="22"/>
          <w:szCs w:val="22"/>
        </w:rPr>
        <w:t>highly-speculative, junk-grade</w:t>
      </w:r>
      <w:r w:rsidR="002D764A">
        <w:rPr>
          <w:rFonts w:asciiTheme="majorHAnsi" w:hAnsiTheme="majorHAnsi"/>
          <w:sz w:val="22"/>
          <w:szCs w:val="22"/>
        </w:rPr>
        <w:t xml:space="preserve"> counters.</w:t>
      </w:r>
      <w:r w:rsidR="001E1803">
        <w:rPr>
          <w:rFonts w:asciiTheme="majorHAnsi" w:hAnsiTheme="majorHAnsi"/>
          <w:color w:val="FF0000"/>
          <w:sz w:val="22"/>
          <w:szCs w:val="22"/>
        </w:rPr>
        <w:t xml:space="preserve"> </w:t>
      </w:r>
      <w:r w:rsidR="001E1803" w:rsidRPr="001E1803">
        <w:rPr>
          <w:rFonts w:asciiTheme="majorHAnsi" w:hAnsiTheme="majorHAnsi"/>
          <w:i/>
          <w:sz w:val="22"/>
          <w:szCs w:val="22"/>
        </w:rPr>
        <w:t>(Appendices: Table 8)</w:t>
      </w:r>
    </w:p>
    <w:p w14:paraId="7017F9A7" w14:textId="5D4548AD" w:rsidR="0091233D" w:rsidRDefault="000C0DFA" w:rsidP="00EA761C">
      <w:pPr>
        <w:spacing w:after="200" w:line="276" w:lineRule="auto"/>
        <w:rPr>
          <w:rFonts w:asciiTheme="majorHAnsi" w:hAnsiTheme="majorHAnsi"/>
          <w:sz w:val="22"/>
          <w:szCs w:val="22"/>
        </w:rPr>
      </w:pPr>
      <w:r w:rsidRPr="000C0DFA">
        <w:rPr>
          <w:noProof/>
        </w:rPr>
        <w:drawing>
          <wp:inline distT="0" distB="0" distL="0" distR="0" wp14:anchorId="17AE9706" wp14:editId="4E615648">
            <wp:extent cx="3600000" cy="2520000"/>
            <wp:effectExtent l="0" t="0" r="6985"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a:ln>
                      <a:noFill/>
                    </a:ln>
                  </pic:spPr>
                </pic:pic>
              </a:graphicData>
            </a:graphic>
          </wp:inline>
        </w:drawing>
      </w:r>
    </w:p>
    <w:p w14:paraId="599A8B21" w14:textId="77777777" w:rsidR="00FF77E4" w:rsidRPr="00EA761C" w:rsidRDefault="00FF77E4" w:rsidP="00EA761C">
      <w:pPr>
        <w:spacing w:after="200" w:line="276" w:lineRule="auto"/>
        <w:rPr>
          <w:rFonts w:asciiTheme="majorHAnsi" w:hAnsiTheme="majorHAnsi"/>
          <w:sz w:val="22"/>
          <w:szCs w:val="22"/>
        </w:rPr>
      </w:pPr>
    </w:p>
    <w:p w14:paraId="7314E039" w14:textId="77777777" w:rsidR="005B7878" w:rsidRDefault="005B7878" w:rsidP="00243E22">
      <w:pPr>
        <w:spacing w:after="200" w:line="276" w:lineRule="auto"/>
        <w:rPr>
          <w:rFonts w:asciiTheme="majorHAnsi" w:hAnsiTheme="majorHAnsi"/>
          <w:sz w:val="22"/>
          <w:szCs w:val="22"/>
        </w:rPr>
      </w:pPr>
    </w:p>
    <w:p w14:paraId="4EF87027" w14:textId="75B270DC" w:rsidR="00243E22" w:rsidRPr="002E5F78" w:rsidRDefault="00243E22" w:rsidP="00243E22">
      <w:pPr>
        <w:spacing w:after="200" w:line="276" w:lineRule="auto"/>
        <w:rPr>
          <w:rFonts w:asciiTheme="majorHAnsi" w:hAnsiTheme="majorHAnsi"/>
          <w:sz w:val="22"/>
          <w:szCs w:val="22"/>
        </w:rPr>
      </w:pPr>
      <w:r w:rsidRPr="002E5F78">
        <w:rPr>
          <w:rFonts w:asciiTheme="majorHAnsi" w:hAnsiTheme="majorHAnsi"/>
          <w:sz w:val="22"/>
          <w:szCs w:val="22"/>
        </w:rPr>
        <w:br w:type="page"/>
      </w:r>
    </w:p>
    <w:p w14:paraId="4601D0CB" w14:textId="77777777" w:rsidR="00FD234C" w:rsidRPr="006140E7" w:rsidRDefault="00FD234C" w:rsidP="006140E7">
      <w:pPr>
        <w:pStyle w:val="Heading3"/>
        <w:rPr>
          <w:color w:val="auto"/>
        </w:rPr>
      </w:pPr>
      <w:bookmarkStart w:id="4" w:name="_Toc306840564"/>
      <w:r w:rsidRPr="006140E7">
        <w:rPr>
          <w:color w:val="auto"/>
        </w:rPr>
        <w:lastRenderedPageBreak/>
        <w:t>III. Derivatives Markets</w:t>
      </w:r>
      <w:bookmarkEnd w:id="4"/>
    </w:p>
    <w:p w14:paraId="17B0515A" w14:textId="622DB752" w:rsidR="009D3AC0" w:rsidRPr="009D3AC0" w:rsidRDefault="009D3AC0" w:rsidP="00112D2C">
      <w:pPr>
        <w:spacing w:before="120" w:after="200" w:line="276" w:lineRule="auto"/>
        <w:rPr>
          <w:rFonts w:asciiTheme="majorHAnsi" w:hAnsiTheme="majorHAnsi"/>
          <w:b/>
          <w:sz w:val="22"/>
          <w:szCs w:val="22"/>
        </w:rPr>
      </w:pPr>
      <w:r w:rsidRPr="009D3AC0">
        <w:rPr>
          <w:rFonts w:asciiTheme="majorHAnsi" w:hAnsiTheme="majorHAnsi"/>
          <w:b/>
          <w:sz w:val="22"/>
          <w:szCs w:val="22"/>
        </w:rPr>
        <w:t>History</w:t>
      </w:r>
    </w:p>
    <w:p w14:paraId="01E5452E" w14:textId="77777777" w:rsidR="009D3AC0" w:rsidRDefault="003A3FFC" w:rsidP="00FD234C">
      <w:pPr>
        <w:spacing w:after="200" w:line="276" w:lineRule="auto"/>
        <w:rPr>
          <w:rFonts w:asciiTheme="majorHAnsi" w:hAnsiTheme="majorHAnsi"/>
          <w:sz w:val="22"/>
          <w:szCs w:val="22"/>
        </w:rPr>
      </w:pPr>
      <w:r>
        <w:rPr>
          <w:rFonts w:asciiTheme="majorHAnsi" w:hAnsiTheme="majorHAnsi"/>
          <w:sz w:val="22"/>
          <w:szCs w:val="22"/>
        </w:rPr>
        <w:t xml:space="preserve">Derivatives trading in India began </w:t>
      </w:r>
      <w:r w:rsidR="003234BE">
        <w:rPr>
          <w:rFonts w:asciiTheme="majorHAnsi" w:hAnsiTheme="majorHAnsi"/>
          <w:sz w:val="22"/>
          <w:szCs w:val="22"/>
        </w:rPr>
        <w:t>as early as 1875, when the Bombay Cotton Trade Association introduced futures contracts.</w:t>
      </w:r>
      <w:r w:rsidR="00186E9C">
        <w:rPr>
          <w:rFonts w:asciiTheme="majorHAnsi" w:hAnsiTheme="majorHAnsi"/>
          <w:sz w:val="22"/>
          <w:szCs w:val="22"/>
        </w:rPr>
        <w:t xml:space="preserve"> </w:t>
      </w:r>
      <w:r w:rsidR="00EB6877">
        <w:rPr>
          <w:rFonts w:asciiTheme="majorHAnsi" w:hAnsiTheme="majorHAnsi"/>
          <w:sz w:val="22"/>
          <w:szCs w:val="22"/>
        </w:rPr>
        <w:t xml:space="preserve">However, in 1952, the socialist government of the time banned all speculative trading (including futures and options), </w:t>
      </w:r>
      <w:r w:rsidR="0077600A">
        <w:rPr>
          <w:rFonts w:asciiTheme="majorHAnsi" w:hAnsiTheme="majorHAnsi"/>
          <w:sz w:val="22"/>
          <w:szCs w:val="22"/>
        </w:rPr>
        <w:t>a ban that stayed in place until the late 1990s – early 2000s. Although the NEP flirted with the idea of reintroducing futures and forwards</w:t>
      </w:r>
      <w:r w:rsidR="0060695A">
        <w:rPr>
          <w:rFonts w:asciiTheme="majorHAnsi" w:hAnsiTheme="majorHAnsi"/>
          <w:sz w:val="22"/>
          <w:szCs w:val="22"/>
        </w:rPr>
        <w:t xml:space="preserve"> in the late 1990s</w:t>
      </w:r>
      <w:r w:rsidR="0077600A">
        <w:rPr>
          <w:rFonts w:asciiTheme="majorHAnsi" w:hAnsiTheme="majorHAnsi"/>
          <w:sz w:val="22"/>
          <w:szCs w:val="22"/>
        </w:rPr>
        <w:t xml:space="preserve">, this did not </w:t>
      </w:r>
      <w:r w:rsidR="0060695A">
        <w:rPr>
          <w:rFonts w:asciiTheme="majorHAnsi" w:hAnsiTheme="majorHAnsi"/>
          <w:sz w:val="22"/>
          <w:szCs w:val="22"/>
        </w:rPr>
        <w:t xml:space="preserve">actually </w:t>
      </w:r>
      <w:r w:rsidR="0077600A">
        <w:rPr>
          <w:rFonts w:asciiTheme="majorHAnsi" w:hAnsiTheme="majorHAnsi"/>
          <w:sz w:val="22"/>
          <w:szCs w:val="22"/>
        </w:rPr>
        <w:t xml:space="preserve">happen until 2000, when SEBI </w:t>
      </w:r>
      <w:r w:rsidR="0060695A">
        <w:rPr>
          <w:rFonts w:asciiTheme="majorHAnsi" w:hAnsiTheme="majorHAnsi"/>
          <w:sz w:val="22"/>
          <w:szCs w:val="22"/>
        </w:rPr>
        <w:t xml:space="preserve">formally allowed the NSE and BSE to commence trading in index futures. Thus, in June 2000, both the NSE and the BSE </w:t>
      </w:r>
      <w:r w:rsidR="00D25F82">
        <w:rPr>
          <w:rFonts w:asciiTheme="majorHAnsi" w:hAnsiTheme="majorHAnsi"/>
          <w:sz w:val="22"/>
          <w:szCs w:val="22"/>
        </w:rPr>
        <w:t xml:space="preserve">introduced the first index futures on the Indian bourses. </w:t>
      </w:r>
      <w:r w:rsidR="00575EDC">
        <w:rPr>
          <w:rFonts w:asciiTheme="majorHAnsi" w:hAnsiTheme="majorHAnsi"/>
          <w:sz w:val="22"/>
          <w:szCs w:val="22"/>
        </w:rPr>
        <w:t xml:space="preserve">This was followed by the introduction of </w:t>
      </w:r>
      <w:r w:rsidR="00E129CE">
        <w:rPr>
          <w:rFonts w:asciiTheme="majorHAnsi" w:hAnsiTheme="majorHAnsi"/>
          <w:sz w:val="22"/>
          <w:szCs w:val="22"/>
        </w:rPr>
        <w:t xml:space="preserve">index options, and stock futures and options in 2001. In 2008, currency </w:t>
      </w:r>
      <w:r w:rsidR="009D3AC0">
        <w:rPr>
          <w:rFonts w:asciiTheme="majorHAnsi" w:hAnsiTheme="majorHAnsi"/>
          <w:sz w:val="22"/>
          <w:szCs w:val="22"/>
        </w:rPr>
        <w:t>futures</w:t>
      </w:r>
      <w:r w:rsidR="00E129CE">
        <w:rPr>
          <w:rFonts w:asciiTheme="majorHAnsi" w:hAnsiTheme="majorHAnsi"/>
          <w:sz w:val="22"/>
          <w:szCs w:val="22"/>
        </w:rPr>
        <w:t xml:space="preserve"> trading commenced on the NSE, </w:t>
      </w:r>
      <w:r w:rsidR="009D3AC0">
        <w:rPr>
          <w:rFonts w:asciiTheme="majorHAnsi" w:hAnsiTheme="majorHAnsi"/>
          <w:sz w:val="22"/>
          <w:szCs w:val="22"/>
        </w:rPr>
        <w:t>followed by interest rate futures in 2009.</w:t>
      </w:r>
    </w:p>
    <w:p w14:paraId="55211772" w14:textId="77777777" w:rsidR="00280693" w:rsidRDefault="00280693" w:rsidP="00FD234C">
      <w:pPr>
        <w:spacing w:after="200" w:line="276" w:lineRule="auto"/>
        <w:rPr>
          <w:rFonts w:asciiTheme="majorHAnsi" w:hAnsiTheme="majorHAnsi"/>
          <w:b/>
          <w:sz w:val="22"/>
          <w:szCs w:val="22"/>
        </w:rPr>
      </w:pPr>
      <w:r>
        <w:rPr>
          <w:rFonts w:asciiTheme="majorHAnsi" w:hAnsiTheme="majorHAnsi"/>
          <w:b/>
          <w:sz w:val="22"/>
          <w:szCs w:val="22"/>
        </w:rPr>
        <w:t>Principal Derivative Products</w:t>
      </w:r>
    </w:p>
    <w:p w14:paraId="584EC447" w14:textId="77777777" w:rsidR="00280693" w:rsidRDefault="00280693" w:rsidP="00FD234C">
      <w:pPr>
        <w:spacing w:after="200" w:line="276" w:lineRule="auto"/>
        <w:rPr>
          <w:rFonts w:asciiTheme="majorHAnsi" w:hAnsiTheme="majorHAnsi"/>
          <w:b/>
          <w:sz w:val="22"/>
          <w:szCs w:val="22"/>
        </w:rPr>
      </w:pPr>
      <w:r>
        <w:rPr>
          <w:rFonts w:asciiTheme="majorHAnsi" w:hAnsiTheme="majorHAnsi"/>
          <w:b/>
          <w:sz w:val="22"/>
          <w:szCs w:val="22"/>
        </w:rPr>
        <w:t>NSE</w:t>
      </w:r>
    </w:p>
    <w:p w14:paraId="464391E0" w14:textId="7D987C98" w:rsidR="000F6255" w:rsidRPr="00676681" w:rsidRDefault="00280693" w:rsidP="00676681">
      <w:pPr>
        <w:pStyle w:val="ListParagraph"/>
        <w:numPr>
          <w:ilvl w:val="0"/>
          <w:numId w:val="9"/>
        </w:numPr>
        <w:spacing w:after="200" w:line="276" w:lineRule="auto"/>
        <w:rPr>
          <w:rFonts w:asciiTheme="majorHAnsi" w:hAnsiTheme="majorHAnsi"/>
          <w:sz w:val="22"/>
          <w:szCs w:val="22"/>
        </w:rPr>
      </w:pPr>
      <w:r w:rsidRPr="00676681">
        <w:rPr>
          <w:rFonts w:asciiTheme="majorHAnsi" w:hAnsiTheme="majorHAnsi"/>
          <w:b/>
          <w:sz w:val="22"/>
          <w:szCs w:val="22"/>
        </w:rPr>
        <w:t>Equity Derivatives:</w:t>
      </w:r>
      <w:r w:rsidRPr="00676681">
        <w:rPr>
          <w:rFonts w:asciiTheme="majorHAnsi" w:hAnsiTheme="majorHAnsi"/>
          <w:sz w:val="22"/>
          <w:szCs w:val="22"/>
        </w:rPr>
        <w:t xml:space="preserve"> </w:t>
      </w:r>
      <w:r w:rsidR="00A61531" w:rsidRPr="00676681">
        <w:rPr>
          <w:rFonts w:asciiTheme="majorHAnsi" w:hAnsiTheme="majorHAnsi"/>
          <w:sz w:val="22"/>
          <w:szCs w:val="22"/>
        </w:rPr>
        <w:t xml:space="preserve">Index </w:t>
      </w:r>
      <w:r w:rsidR="000F6255" w:rsidRPr="00676681">
        <w:rPr>
          <w:rFonts w:asciiTheme="majorHAnsi" w:hAnsiTheme="majorHAnsi"/>
          <w:sz w:val="22"/>
          <w:szCs w:val="22"/>
        </w:rPr>
        <w:t>Futures and Options</w:t>
      </w:r>
      <w:r w:rsidR="00A61531" w:rsidRPr="00676681">
        <w:rPr>
          <w:rFonts w:asciiTheme="majorHAnsi" w:hAnsiTheme="majorHAnsi"/>
          <w:sz w:val="22"/>
          <w:szCs w:val="22"/>
        </w:rPr>
        <w:t xml:space="preserve"> based on the CNX Nifty, CNX-IT, Bank NIFTY</w:t>
      </w:r>
      <w:r w:rsidR="000F6255" w:rsidRPr="00676681">
        <w:rPr>
          <w:rFonts w:asciiTheme="majorHAnsi" w:hAnsiTheme="majorHAnsi"/>
          <w:sz w:val="22"/>
          <w:szCs w:val="22"/>
        </w:rPr>
        <w:t>, CNX-Infrastructure</w:t>
      </w:r>
      <w:r w:rsidR="00780A64" w:rsidRPr="00676681">
        <w:rPr>
          <w:rFonts w:asciiTheme="majorHAnsi" w:hAnsiTheme="majorHAnsi"/>
          <w:sz w:val="22"/>
          <w:szCs w:val="22"/>
        </w:rPr>
        <w:t>, CNX-PSE (Public Sector Enterprise)</w:t>
      </w:r>
      <w:r w:rsidR="00A61531" w:rsidRPr="00676681">
        <w:rPr>
          <w:rFonts w:asciiTheme="majorHAnsi" w:hAnsiTheme="majorHAnsi"/>
          <w:sz w:val="22"/>
          <w:szCs w:val="22"/>
        </w:rPr>
        <w:t xml:space="preserve"> and the Nifty Midcap 50</w:t>
      </w:r>
      <w:r w:rsidR="0038266C" w:rsidRPr="00676681">
        <w:rPr>
          <w:rFonts w:asciiTheme="majorHAnsi" w:hAnsiTheme="majorHAnsi"/>
          <w:sz w:val="22"/>
          <w:szCs w:val="22"/>
        </w:rPr>
        <w:t>;</w:t>
      </w:r>
      <w:r w:rsidR="000F6255" w:rsidRPr="00676681">
        <w:rPr>
          <w:rFonts w:asciiTheme="majorHAnsi" w:hAnsiTheme="majorHAnsi"/>
          <w:sz w:val="22"/>
          <w:szCs w:val="22"/>
        </w:rPr>
        <w:t xml:space="preserve"> Options </w:t>
      </w:r>
      <w:r w:rsidR="00AA582B">
        <w:rPr>
          <w:rFonts w:asciiTheme="majorHAnsi" w:hAnsiTheme="majorHAnsi"/>
          <w:sz w:val="22"/>
          <w:szCs w:val="22"/>
        </w:rPr>
        <w:t xml:space="preserve">and Futures </w:t>
      </w:r>
      <w:r w:rsidR="000F6255" w:rsidRPr="00676681">
        <w:rPr>
          <w:rFonts w:asciiTheme="majorHAnsi" w:hAnsiTheme="majorHAnsi"/>
          <w:sz w:val="22"/>
          <w:szCs w:val="22"/>
        </w:rPr>
        <w:t>in individual securities</w:t>
      </w:r>
      <w:r w:rsidR="00153FDB" w:rsidRPr="00676681">
        <w:rPr>
          <w:rFonts w:asciiTheme="majorHAnsi" w:hAnsiTheme="majorHAnsi"/>
          <w:sz w:val="22"/>
          <w:szCs w:val="22"/>
        </w:rPr>
        <w:t xml:space="preserve"> (</w:t>
      </w:r>
      <w:r w:rsidR="00AA582B">
        <w:rPr>
          <w:rFonts w:asciiTheme="majorHAnsi" w:hAnsiTheme="majorHAnsi"/>
          <w:sz w:val="22"/>
          <w:szCs w:val="22"/>
        </w:rPr>
        <w:t xml:space="preserve">Options </w:t>
      </w:r>
      <w:r w:rsidR="00153FDB" w:rsidRPr="00676681">
        <w:rPr>
          <w:rFonts w:asciiTheme="majorHAnsi" w:hAnsiTheme="majorHAnsi"/>
          <w:sz w:val="22"/>
          <w:szCs w:val="22"/>
        </w:rPr>
        <w:t>for 163 securities allowed by SEBI)</w:t>
      </w:r>
      <w:r w:rsidR="000F6255" w:rsidRPr="00676681">
        <w:rPr>
          <w:rFonts w:asciiTheme="majorHAnsi" w:hAnsiTheme="majorHAnsi"/>
          <w:sz w:val="22"/>
          <w:szCs w:val="22"/>
        </w:rPr>
        <w:t>.</w:t>
      </w:r>
    </w:p>
    <w:p w14:paraId="3D47E5EC" w14:textId="77777777" w:rsidR="00DC19AE" w:rsidRPr="00676681" w:rsidRDefault="0038266C" w:rsidP="00676681">
      <w:pPr>
        <w:pStyle w:val="ListParagraph"/>
        <w:numPr>
          <w:ilvl w:val="0"/>
          <w:numId w:val="9"/>
        </w:numPr>
        <w:spacing w:after="200" w:line="276" w:lineRule="auto"/>
        <w:rPr>
          <w:rFonts w:asciiTheme="majorHAnsi" w:hAnsiTheme="majorHAnsi"/>
          <w:sz w:val="22"/>
          <w:szCs w:val="22"/>
        </w:rPr>
      </w:pPr>
      <w:r w:rsidRPr="00676681">
        <w:rPr>
          <w:rFonts w:asciiTheme="majorHAnsi" w:hAnsiTheme="majorHAnsi"/>
          <w:b/>
          <w:sz w:val="22"/>
          <w:szCs w:val="22"/>
        </w:rPr>
        <w:t>Currency Derivatives:</w:t>
      </w:r>
      <w:r w:rsidRPr="00676681">
        <w:rPr>
          <w:rFonts w:asciiTheme="majorHAnsi" w:hAnsiTheme="majorHAnsi"/>
          <w:sz w:val="22"/>
          <w:szCs w:val="22"/>
        </w:rPr>
        <w:t xml:space="preserve"> Four currency pairs currently allowed in Futures – USD/INR, EUR/INR, GBP/INR</w:t>
      </w:r>
      <w:r w:rsidR="00DC19AE" w:rsidRPr="00676681">
        <w:rPr>
          <w:rFonts w:asciiTheme="majorHAnsi" w:hAnsiTheme="majorHAnsi"/>
          <w:sz w:val="22"/>
          <w:szCs w:val="22"/>
        </w:rPr>
        <w:t xml:space="preserve"> and JPY/INR; Options allowed only in USD/INR.</w:t>
      </w:r>
    </w:p>
    <w:p w14:paraId="0902F627" w14:textId="77777777" w:rsidR="00D81BC3" w:rsidRPr="00676681" w:rsidRDefault="00D528D0" w:rsidP="00676681">
      <w:pPr>
        <w:pStyle w:val="ListParagraph"/>
        <w:numPr>
          <w:ilvl w:val="0"/>
          <w:numId w:val="9"/>
        </w:numPr>
        <w:spacing w:after="200" w:line="276" w:lineRule="auto"/>
        <w:rPr>
          <w:rFonts w:asciiTheme="majorHAnsi" w:hAnsiTheme="majorHAnsi"/>
          <w:sz w:val="22"/>
          <w:szCs w:val="22"/>
        </w:rPr>
      </w:pPr>
      <w:r w:rsidRPr="00676681">
        <w:rPr>
          <w:rFonts w:asciiTheme="majorHAnsi" w:hAnsiTheme="majorHAnsi"/>
          <w:b/>
          <w:sz w:val="22"/>
          <w:szCs w:val="22"/>
        </w:rPr>
        <w:t xml:space="preserve">Interest Rate Futures: </w:t>
      </w:r>
      <w:r w:rsidR="00787224" w:rsidRPr="00676681">
        <w:rPr>
          <w:rFonts w:asciiTheme="majorHAnsi" w:hAnsiTheme="majorHAnsi"/>
          <w:sz w:val="22"/>
          <w:szCs w:val="22"/>
        </w:rPr>
        <w:t xml:space="preserve">Based on 6-year, 10-year and 30-year </w:t>
      </w:r>
      <w:r w:rsidR="00D81BC3" w:rsidRPr="00676681">
        <w:rPr>
          <w:rFonts w:asciiTheme="majorHAnsi" w:hAnsiTheme="majorHAnsi"/>
          <w:sz w:val="22"/>
          <w:szCs w:val="22"/>
        </w:rPr>
        <w:t>Government Bonds, and on 91-Day Treasury Bill.</w:t>
      </w:r>
    </w:p>
    <w:p w14:paraId="4631DE1D" w14:textId="77777777" w:rsidR="00F82060" w:rsidRPr="00F82060" w:rsidRDefault="00F82060" w:rsidP="00FD234C">
      <w:pPr>
        <w:spacing w:after="200" w:line="276" w:lineRule="auto"/>
        <w:rPr>
          <w:rFonts w:asciiTheme="majorHAnsi" w:hAnsiTheme="majorHAnsi"/>
          <w:b/>
          <w:sz w:val="22"/>
          <w:szCs w:val="22"/>
        </w:rPr>
      </w:pPr>
      <w:r w:rsidRPr="00F82060">
        <w:rPr>
          <w:rFonts w:asciiTheme="majorHAnsi" w:hAnsiTheme="majorHAnsi"/>
          <w:b/>
          <w:sz w:val="22"/>
          <w:szCs w:val="22"/>
        </w:rPr>
        <w:t>BSE</w:t>
      </w:r>
    </w:p>
    <w:p w14:paraId="1CCBBBF6" w14:textId="7A36900D" w:rsidR="00A97193" w:rsidRPr="00676681" w:rsidRDefault="00C72475" w:rsidP="00676681">
      <w:pPr>
        <w:pStyle w:val="ListParagraph"/>
        <w:numPr>
          <w:ilvl w:val="0"/>
          <w:numId w:val="10"/>
        </w:numPr>
        <w:spacing w:after="200" w:line="276" w:lineRule="auto"/>
        <w:rPr>
          <w:rFonts w:asciiTheme="majorHAnsi" w:hAnsiTheme="majorHAnsi"/>
          <w:sz w:val="22"/>
          <w:szCs w:val="22"/>
        </w:rPr>
      </w:pPr>
      <w:r w:rsidRPr="00676681">
        <w:rPr>
          <w:rFonts w:asciiTheme="majorHAnsi" w:hAnsiTheme="majorHAnsi"/>
          <w:b/>
          <w:sz w:val="22"/>
          <w:szCs w:val="22"/>
        </w:rPr>
        <w:t>Equity Derivatives:</w:t>
      </w:r>
      <w:r w:rsidRPr="00676681">
        <w:rPr>
          <w:rFonts w:asciiTheme="majorHAnsi" w:hAnsiTheme="majorHAnsi"/>
          <w:sz w:val="22"/>
          <w:szCs w:val="22"/>
        </w:rPr>
        <w:t xml:space="preserve"> Index Futures </w:t>
      </w:r>
      <w:r w:rsidR="00981745" w:rsidRPr="00676681">
        <w:rPr>
          <w:rFonts w:asciiTheme="majorHAnsi" w:hAnsiTheme="majorHAnsi"/>
          <w:sz w:val="22"/>
          <w:szCs w:val="22"/>
        </w:rPr>
        <w:t xml:space="preserve">and Options </w:t>
      </w:r>
      <w:r w:rsidRPr="00676681">
        <w:rPr>
          <w:rFonts w:asciiTheme="majorHAnsi" w:hAnsiTheme="majorHAnsi"/>
          <w:sz w:val="22"/>
          <w:szCs w:val="22"/>
        </w:rPr>
        <w:t>based on the S&amp;P BSE Sensex</w:t>
      </w:r>
      <w:r w:rsidR="00DB66E8" w:rsidRPr="00676681">
        <w:rPr>
          <w:rFonts w:asciiTheme="majorHAnsi" w:hAnsiTheme="majorHAnsi"/>
          <w:sz w:val="22"/>
          <w:szCs w:val="22"/>
        </w:rPr>
        <w:t>, BSE TECK (technology stocks), BSE FMCG, BSE Metal, BSE Bankex, and BSE Oil &amp; Gas</w:t>
      </w:r>
      <w:r w:rsidR="00981745" w:rsidRPr="00676681">
        <w:rPr>
          <w:rFonts w:asciiTheme="majorHAnsi" w:hAnsiTheme="majorHAnsi"/>
          <w:sz w:val="22"/>
          <w:szCs w:val="22"/>
        </w:rPr>
        <w:t xml:space="preserve">; </w:t>
      </w:r>
      <w:r w:rsidR="00A97193" w:rsidRPr="00676681">
        <w:rPr>
          <w:rFonts w:asciiTheme="majorHAnsi" w:hAnsiTheme="majorHAnsi"/>
          <w:sz w:val="22"/>
          <w:szCs w:val="22"/>
        </w:rPr>
        <w:t xml:space="preserve">Options </w:t>
      </w:r>
      <w:r w:rsidR="00AA582B">
        <w:rPr>
          <w:rFonts w:asciiTheme="majorHAnsi" w:hAnsiTheme="majorHAnsi"/>
          <w:sz w:val="22"/>
          <w:szCs w:val="22"/>
        </w:rPr>
        <w:t xml:space="preserve">and Futures in individual securities (Options </w:t>
      </w:r>
      <w:r w:rsidR="00A97193" w:rsidRPr="00676681">
        <w:rPr>
          <w:rFonts w:asciiTheme="majorHAnsi" w:hAnsiTheme="majorHAnsi"/>
          <w:sz w:val="22"/>
          <w:szCs w:val="22"/>
        </w:rPr>
        <w:t>on 31 individual stocks</w:t>
      </w:r>
      <w:r w:rsidR="00AA582B">
        <w:rPr>
          <w:rFonts w:asciiTheme="majorHAnsi" w:hAnsiTheme="majorHAnsi"/>
          <w:sz w:val="22"/>
          <w:szCs w:val="22"/>
        </w:rPr>
        <w:t>)</w:t>
      </w:r>
      <w:r w:rsidR="00A97193" w:rsidRPr="00676681">
        <w:rPr>
          <w:rFonts w:asciiTheme="majorHAnsi" w:hAnsiTheme="majorHAnsi"/>
          <w:sz w:val="22"/>
          <w:szCs w:val="22"/>
        </w:rPr>
        <w:t>.</w:t>
      </w:r>
    </w:p>
    <w:p w14:paraId="0AD6078C" w14:textId="77777777" w:rsidR="00E322CE" w:rsidRPr="00676681" w:rsidRDefault="00A97193" w:rsidP="00676681">
      <w:pPr>
        <w:pStyle w:val="ListParagraph"/>
        <w:numPr>
          <w:ilvl w:val="0"/>
          <w:numId w:val="10"/>
        </w:numPr>
        <w:spacing w:after="200" w:line="276" w:lineRule="auto"/>
        <w:rPr>
          <w:rFonts w:asciiTheme="majorHAnsi" w:hAnsiTheme="majorHAnsi"/>
          <w:sz w:val="22"/>
          <w:szCs w:val="22"/>
        </w:rPr>
      </w:pPr>
      <w:r w:rsidRPr="00676681">
        <w:rPr>
          <w:rFonts w:asciiTheme="majorHAnsi" w:hAnsiTheme="majorHAnsi"/>
          <w:b/>
          <w:sz w:val="22"/>
          <w:szCs w:val="22"/>
        </w:rPr>
        <w:t>Currency Derivatives:</w:t>
      </w:r>
      <w:r w:rsidRPr="00676681">
        <w:rPr>
          <w:rFonts w:asciiTheme="majorHAnsi" w:hAnsiTheme="majorHAnsi"/>
          <w:sz w:val="22"/>
          <w:szCs w:val="22"/>
        </w:rPr>
        <w:t xml:space="preserve"> </w:t>
      </w:r>
      <w:r w:rsidR="006831EF" w:rsidRPr="00676681">
        <w:rPr>
          <w:rFonts w:asciiTheme="majorHAnsi" w:hAnsiTheme="majorHAnsi"/>
          <w:sz w:val="22"/>
          <w:szCs w:val="22"/>
        </w:rPr>
        <w:t>One pair in Futures – USD/INR</w:t>
      </w:r>
      <w:r w:rsidR="00E322CE" w:rsidRPr="00676681">
        <w:rPr>
          <w:rFonts w:asciiTheme="majorHAnsi" w:hAnsiTheme="majorHAnsi"/>
          <w:sz w:val="22"/>
          <w:szCs w:val="22"/>
        </w:rPr>
        <w:t>.</w:t>
      </w:r>
    </w:p>
    <w:p w14:paraId="08F4B2B3" w14:textId="77777777" w:rsidR="00F15B5C" w:rsidRDefault="00F15B5C" w:rsidP="00FD234C">
      <w:pPr>
        <w:spacing w:after="200" w:line="276" w:lineRule="auto"/>
        <w:rPr>
          <w:rFonts w:asciiTheme="majorHAnsi" w:hAnsiTheme="majorHAnsi"/>
          <w:b/>
          <w:sz w:val="22"/>
          <w:szCs w:val="22"/>
        </w:rPr>
      </w:pPr>
      <w:r>
        <w:rPr>
          <w:rFonts w:asciiTheme="majorHAnsi" w:hAnsiTheme="majorHAnsi"/>
          <w:b/>
          <w:sz w:val="22"/>
          <w:szCs w:val="22"/>
        </w:rPr>
        <w:t>Market Trends</w:t>
      </w:r>
    </w:p>
    <w:p w14:paraId="6B41D52C" w14:textId="77777777" w:rsidR="00CA38E5" w:rsidRPr="00CA38E5" w:rsidRDefault="00CA38E5" w:rsidP="00FD234C">
      <w:pPr>
        <w:spacing w:after="200" w:line="276" w:lineRule="auto"/>
        <w:rPr>
          <w:rFonts w:asciiTheme="majorHAnsi" w:hAnsiTheme="majorHAnsi"/>
          <w:b/>
          <w:sz w:val="22"/>
          <w:szCs w:val="22"/>
        </w:rPr>
      </w:pPr>
      <w:r w:rsidRPr="00CA38E5">
        <w:rPr>
          <w:rFonts w:asciiTheme="majorHAnsi" w:hAnsiTheme="majorHAnsi"/>
          <w:b/>
          <w:sz w:val="22"/>
          <w:szCs w:val="22"/>
        </w:rPr>
        <w:t>Equity Derivatives</w:t>
      </w:r>
    </w:p>
    <w:p w14:paraId="1BE8B5C2" w14:textId="2C75A016" w:rsidR="00D20CDC" w:rsidRDefault="005E14D8" w:rsidP="00FD234C">
      <w:pPr>
        <w:spacing w:after="200" w:line="276" w:lineRule="auto"/>
        <w:rPr>
          <w:rFonts w:asciiTheme="majorHAnsi" w:hAnsiTheme="majorHAnsi"/>
          <w:sz w:val="22"/>
          <w:szCs w:val="22"/>
        </w:rPr>
      </w:pPr>
      <w:r>
        <w:rPr>
          <w:rFonts w:asciiTheme="majorHAnsi" w:hAnsiTheme="majorHAnsi"/>
          <w:sz w:val="22"/>
          <w:szCs w:val="22"/>
        </w:rPr>
        <w:t xml:space="preserve">Trading in equity derivatives has, in a sense, truly taken-off since </w:t>
      </w:r>
      <w:r w:rsidR="00E14E04">
        <w:rPr>
          <w:rFonts w:asciiTheme="majorHAnsi" w:hAnsiTheme="majorHAnsi"/>
          <w:sz w:val="22"/>
          <w:szCs w:val="22"/>
        </w:rPr>
        <w:t xml:space="preserve">its start in 2000, with the total turnover on the NSE increasing from INR 24 billion in 2000-01 to INR 560,258 billion in2014-15, at an astounding CAGR of </w:t>
      </w:r>
      <w:r w:rsidR="00E41238">
        <w:rPr>
          <w:rFonts w:asciiTheme="majorHAnsi" w:hAnsiTheme="majorHAnsi"/>
          <w:sz w:val="22"/>
          <w:szCs w:val="22"/>
        </w:rPr>
        <w:t>96%. The total turnover on the BSE</w:t>
      </w:r>
      <w:r w:rsidR="00615731">
        <w:rPr>
          <w:rFonts w:asciiTheme="majorHAnsi" w:hAnsiTheme="majorHAnsi"/>
          <w:sz w:val="22"/>
          <w:szCs w:val="22"/>
        </w:rPr>
        <w:t xml:space="preserve">, although trailing the NSE in sheer volume, has followed suit, growing at a CAGR of 87% from INR 17 billion in 2000-01 to INR 203,627 in 2014-15. </w:t>
      </w:r>
      <w:r w:rsidR="00762918">
        <w:rPr>
          <w:rFonts w:asciiTheme="majorHAnsi" w:hAnsiTheme="majorHAnsi"/>
          <w:sz w:val="22"/>
          <w:szCs w:val="22"/>
        </w:rPr>
        <w:t xml:space="preserve">In terms of the type of instruments traded on the exchanges, the BSE is dominated by </w:t>
      </w:r>
      <w:r w:rsidR="009E632C">
        <w:rPr>
          <w:rFonts w:asciiTheme="majorHAnsi" w:hAnsiTheme="majorHAnsi"/>
          <w:sz w:val="22"/>
          <w:szCs w:val="22"/>
        </w:rPr>
        <w:t xml:space="preserve">Index Options, which form almost 99% of its total turnover. In comparison, the NSE </w:t>
      </w:r>
      <w:r w:rsidR="006C0627">
        <w:rPr>
          <w:rFonts w:asciiTheme="majorHAnsi" w:hAnsiTheme="majorHAnsi"/>
          <w:sz w:val="22"/>
          <w:szCs w:val="22"/>
        </w:rPr>
        <w:t>has a more diverse composition, with Index Options forming 71% of its total turnover, while Stock Options, Index Futures and Stock Options form 15%, 7% and 6%, respectively.</w:t>
      </w:r>
      <w:r w:rsidR="00700C9D" w:rsidRPr="00432741">
        <w:rPr>
          <w:rFonts w:asciiTheme="majorHAnsi" w:hAnsiTheme="majorHAnsi"/>
          <w:i/>
          <w:sz w:val="22"/>
          <w:szCs w:val="22"/>
        </w:rPr>
        <w:t xml:space="preserve"> </w:t>
      </w:r>
      <w:r w:rsidR="00432741" w:rsidRPr="00432741">
        <w:rPr>
          <w:rFonts w:asciiTheme="majorHAnsi" w:hAnsiTheme="majorHAnsi"/>
          <w:i/>
          <w:sz w:val="22"/>
          <w:szCs w:val="22"/>
        </w:rPr>
        <w:t>(Appendices: Table 9)</w:t>
      </w:r>
    </w:p>
    <w:p w14:paraId="44CBF884" w14:textId="1E3C0D7E" w:rsidR="009C14DB" w:rsidRDefault="009C14DB" w:rsidP="00FD234C">
      <w:pPr>
        <w:spacing w:after="200" w:line="276" w:lineRule="auto"/>
        <w:rPr>
          <w:rFonts w:asciiTheme="majorHAnsi" w:hAnsiTheme="majorHAnsi"/>
          <w:b/>
          <w:sz w:val="22"/>
          <w:szCs w:val="22"/>
        </w:rPr>
      </w:pPr>
      <w:r w:rsidRPr="009C14DB">
        <w:rPr>
          <w:noProof/>
        </w:rPr>
        <w:lastRenderedPageBreak/>
        <w:drawing>
          <wp:inline distT="0" distB="0" distL="0" distR="0" wp14:anchorId="5B528C98" wp14:editId="48544CD1">
            <wp:extent cx="3600000" cy="2520000"/>
            <wp:effectExtent l="0" t="0" r="6985"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a:ln>
                      <a:noFill/>
                    </a:ln>
                  </pic:spPr>
                </pic:pic>
              </a:graphicData>
            </a:graphic>
          </wp:inline>
        </w:drawing>
      </w:r>
    </w:p>
    <w:p w14:paraId="02C6919E" w14:textId="77777777" w:rsidR="00326814" w:rsidRDefault="00326814" w:rsidP="00FD234C">
      <w:pPr>
        <w:spacing w:after="200" w:line="276" w:lineRule="auto"/>
        <w:rPr>
          <w:rFonts w:asciiTheme="majorHAnsi" w:hAnsiTheme="majorHAnsi"/>
          <w:b/>
          <w:sz w:val="22"/>
          <w:szCs w:val="22"/>
        </w:rPr>
      </w:pPr>
      <w:r>
        <w:rPr>
          <w:rFonts w:asciiTheme="majorHAnsi" w:hAnsiTheme="majorHAnsi"/>
          <w:b/>
          <w:sz w:val="22"/>
          <w:szCs w:val="22"/>
        </w:rPr>
        <w:t>Currency Derivatives and Interest Rate Futures</w:t>
      </w:r>
    </w:p>
    <w:p w14:paraId="5EF55C40" w14:textId="4CF37044" w:rsidR="00FA3FEB" w:rsidRDefault="00451360" w:rsidP="00FD234C">
      <w:pPr>
        <w:spacing w:after="200" w:line="276" w:lineRule="auto"/>
        <w:rPr>
          <w:rFonts w:asciiTheme="majorHAnsi" w:hAnsiTheme="majorHAnsi"/>
          <w:sz w:val="22"/>
          <w:szCs w:val="22"/>
        </w:rPr>
      </w:pPr>
      <w:r>
        <w:rPr>
          <w:rFonts w:asciiTheme="majorHAnsi" w:hAnsiTheme="majorHAnsi"/>
          <w:sz w:val="22"/>
          <w:szCs w:val="22"/>
        </w:rPr>
        <w:t xml:space="preserve">The total turnover in currency </w:t>
      </w:r>
      <w:r w:rsidR="007F39EA">
        <w:rPr>
          <w:rFonts w:asciiTheme="majorHAnsi" w:hAnsiTheme="majorHAnsi"/>
          <w:sz w:val="22"/>
          <w:szCs w:val="22"/>
        </w:rPr>
        <w:t>derivatives on the NSE has increased from INR 1,623 billion in 2008-09 to INR 30,239 billion in 2014-15, at a</w:t>
      </w:r>
      <w:r w:rsidR="00097D8E">
        <w:rPr>
          <w:rFonts w:asciiTheme="majorHAnsi" w:hAnsiTheme="majorHAnsi"/>
          <w:sz w:val="22"/>
          <w:szCs w:val="22"/>
        </w:rPr>
        <w:t>n impressive</w:t>
      </w:r>
      <w:r w:rsidR="007F39EA">
        <w:rPr>
          <w:rFonts w:asciiTheme="majorHAnsi" w:hAnsiTheme="majorHAnsi"/>
          <w:sz w:val="22"/>
          <w:szCs w:val="22"/>
        </w:rPr>
        <w:t xml:space="preserve"> CAGR of 52%. </w:t>
      </w:r>
      <w:r w:rsidR="00326814">
        <w:rPr>
          <w:rFonts w:asciiTheme="majorHAnsi" w:hAnsiTheme="majorHAnsi"/>
          <w:sz w:val="22"/>
          <w:szCs w:val="22"/>
        </w:rPr>
        <w:t xml:space="preserve">Interest Rate Futures, recent inductee into the NSE’s list of instruments, have </w:t>
      </w:r>
      <w:r w:rsidR="007F39EA">
        <w:rPr>
          <w:rFonts w:asciiTheme="majorHAnsi" w:hAnsiTheme="majorHAnsi"/>
          <w:sz w:val="22"/>
          <w:szCs w:val="22"/>
        </w:rPr>
        <w:t xml:space="preserve">also </w:t>
      </w:r>
      <w:r w:rsidR="00326814">
        <w:rPr>
          <w:rFonts w:asciiTheme="majorHAnsi" w:hAnsiTheme="majorHAnsi"/>
          <w:sz w:val="22"/>
          <w:szCs w:val="22"/>
        </w:rPr>
        <w:t xml:space="preserve">increased </w:t>
      </w:r>
      <w:r w:rsidR="00097D8E">
        <w:rPr>
          <w:rFonts w:asciiTheme="majorHAnsi" w:hAnsiTheme="majorHAnsi"/>
          <w:sz w:val="22"/>
          <w:szCs w:val="22"/>
        </w:rPr>
        <w:t>significantly,</w:t>
      </w:r>
      <w:r w:rsidR="00326814">
        <w:rPr>
          <w:rFonts w:asciiTheme="majorHAnsi" w:hAnsiTheme="majorHAnsi"/>
          <w:sz w:val="22"/>
          <w:szCs w:val="22"/>
        </w:rPr>
        <w:t xml:space="preserve"> from INR 30 billion in 2009-10 to INR 4,216 billion in 2014-15.</w:t>
      </w:r>
      <w:r w:rsidR="00F2281B" w:rsidRPr="00815BC3">
        <w:rPr>
          <w:rFonts w:asciiTheme="majorHAnsi" w:hAnsiTheme="majorHAnsi"/>
          <w:i/>
          <w:sz w:val="22"/>
          <w:szCs w:val="22"/>
        </w:rPr>
        <w:t xml:space="preserve"> </w:t>
      </w:r>
      <w:r w:rsidR="00815BC3" w:rsidRPr="00815BC3">
        <w:rPr>
          <w:rFonts w:asciiTheme="majorHAnsi" w:hAnsiTheme="majorHAnsi"/>
          <w:i/>
          <w:sz w:val="22"/>
          <w:szCs w:val="22"/>
        </w:rPr>
        <w:t>(Appendices: Table 10)</w:t>
      </w:r>
    </w:p>
    <w:p w14:paraId="019E4EC9" w14:textId="77777777" w:rsidR="00E906A3" w:rsidRDefault="00E906A3" w:rsidP="00FD234C">
      <w:pPr>
        <w:spacing w:after="200" w:line="276" w:lineRule="auto"/>
        <w:rPr>
          <w:rFonts w:asciiTheme="majorHAnsi" w:hAnsiTheme="majorHAnsi"/>
          <w:b/>
          <w:sz w:val="22"/>
          <w:szCs w:val="22"/>
        </w:rPr>
      </w:pPr>
      <w:r w:rsidRPr="00E906A3">
        <w:rPr>
          <w:noProof/>
        </w:rPr>
        <w:drawing>
          <wp:inline distT="0" distB="0" distL="0" distR="0" wp14:anchorId="368A2671" wp14:editId="4F775FE2">
            <wp:extent cx="3429000" cy="2383367"/>
            <wp:effectExtent l="0" t="0" r="0" b="4445"/>
            <wp:docPr id="1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435" cy="2383670"/>
                    </a:xfrm>
                    <a:prstGeom prst="rect">
                      <a:avLst/>
                    </a:prstGeom>
                    <a:noFill/>
                    <a:ln>
                      <a:noFill/>
                    </a:ln>
                  </pic:spPr>
                </pic:pic>
              </a:graphicData>
            </a:graphic>
          </wp:inline>
        </w:drawing>
      </w:r>
    </w:p>
    <w:p w14:paraId="1B750DC2" w14:textId="6F676750" w:rsidR="00FD234C" w:rsidRDefault="00052940" w:rsidP="00FD234C">
      <w:pPr>
        <w:spacing w:after="200" w:line="276" w:lineRule="auto"/>
        <w:rPr>
          <w:rFonts w:asciiTheme="majorHAnsi" w:hAnsiTheme="majorHAnsi"/>
          <w:b/>
          <w:sz w:val="22"/>
          <w:szCs w:val="22"/>
        </w:rPr>
      </w:pPr>
      <w:r w:rsidRPr="00052940">
        <w:rPr>
          <w:noProof/>
        </w:rPr>
        <w:drawing>
          <wp:inline distT="0" distB="0" distL="0" distR="0" wp14:anchorId="6451C133" wp14:editId="13D53C64">
            <wp:extent cx="3429000" cy="2400300"/>
            <wp:effectExtent l="0" t="0" r="0" b="12700"/>
            <wp:docPr id="1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435" cy="2400605"/>
                    </a:xfrm>
                    <a:prstGeom prst="rect">
                      <a:avLst/>
                    </a:prstGeom>
                    <a:noFill/>
                    <a:ln>
                      <a:noFill/>
                    </a:ln>
                  </pic:spPr>
                </pic:pic>
              </a:graphicData>
            </a:graphic>
          </wp:inline>
        </w:drawing>
      </w:r>
      <w:r w:rsidR="00FD234C" w:rsidRPr="00D528D0">
        <w:rPr>
          <w:rFonts w:asciiTheme="majorHAnsi" w:hAnsiTheme="majorHAnsi"/>
          <w:b/>
          <w:sz w:val="22"/>
          <w:szCs w:val="22"/>
        </w:rPr>
        <w:br w:type="page"/>
      </w:r>
    </w:p>
    <w:p w14:paraId="5ED0C15D" w14:textId="63D31E0E" w:rsidR="0029611B" w:rsidRPr="00112D2C" w:rsidRDefault="00FD234C" w:rsidP="00112D2C">
      <w:pPr>
        <w:pStyle w:val="Heading3"/>
        <w:rPr>
          <w:color w:val="auto"/>
        </w:rPr>
      </w:pPr>
      <w:bookmarkStart w:id="5" w:name="_Toc306840565"/>
      <w:r w:rsidRPr="00112D2C">
        <w:rPr>
          <w:color w:val="auto"/>
        </w:rPr>
        <w:lastRenderedPageBreak/>
        <w:t>IV</w:t>
      </w:r>
      <w:r w:rsidR="00C60A11" w:rsidRPr="00112D2C">
        <w:rPr>
          <w:color w:val="auto"/>
        </w:rPr>
        <w:t>. Mutual Funds</w:t>
      </w:r>
      <w:bookmarkEnd w:id="5"/>
    </w:p>
    <w:p w14:paraId="05AB7F4E" w14:textId="754F672B" w:rsidR="00C60A11" w:rsidRDefault="00921AFF" w:rsidP="00112D2C">
      <w:pPr>
        <w:spacing w:before="120" w:after="200" w:line="276" w:lineRule="auto"/>
        <w:rPr>
          <w:rFonts w:asciiTheme="majorHAnsi" w:hAnsiTheme="majorHAnsi"/>
          <w:sz w:val="22"/>
          <w:szCs w:val="22"/>
        </w:rPr>
      </w:pPr>
      <w:r>
        <w:rPr>
          <w:rFonts w:asciiTheme="majorHAnsi" w:hAnsiTheme="majorHAnsi"/>
          <w:sz w:val="22"/>
          <w:szCs w:val="22"/>
        </w:rPr>
        <w:t>The development of the mutual fund industry i</w:t>
      </w:r>
      <w:r w:rsidR="000A5205">
        <w:rPr>
          <w:rFonts w:asciiTheme="majorHAnsi" w:hAnsiTheme="majorHAnsi"/>
          <w:sz w:val="22"/>
          <w:szCs w:val="22"/>
        </w:rPr>
        <w:t>n India can be divided into three</w:t>
      </w:r>
      <w:r>
        <w:rPr>
          <w:rFonts w:asciiTheme="majorHAnsi" w:hAnsiTheme="majorHAnsi"/>
          <w:sz w:val="22"/>
          <w:szCs w:val="22"/>
        </w:rPr>
        <w:t xml:space="preserve"> main phases:</w:t>
      </w:r>
    </w:p>
    <w:p w14:paraId="662A10C3" w14:textId="4F548E6D" w:rsidR="00921AFF" w:rsidRDefault="004A4BCD" w:rsidP="00BC7AD7">
      <w:pPr>
        <w:spacing w:after="200" w:line="276" w:lineRule="auto"/>
        <w:rPr>
          <w:rFonts w:asciiTheme="majorHAnsi" w:hAnsiTheme="majorHAnsi"/>
          <w:sz w:val="22"/>
          <w:szCs w:val="22"/>
        </w:rPr>
      </w:pPr>
      <w:r w:rsidRPr="00112D2C">
        <w:rPr>
          <w:rFonts w:asciiTheme="majorHAnsi" w:hAnsiTheme="majorHAnsi"/>
          <w:b/>
          <w:sz w:val="22"/>
          <w:szCs w:val="22"/>
        </w:rPr>
        <w:t>Phase I</w:t>
      </w:r>
      <w:r w:rsidR="00E24157" w:rsidRPr="00112D2C">
        <w:rPr>
          <w:rFonts w:asciiTheme="majorHAnsi" w:hAnsiTheme="majorHAnsi"/>
          <w:b/>
          <w:sz w:val="22"/>
          <w:szCs w:val="22"/>
        </w:rPr>
        <w:t xml:space="preserve"> (1964 –</w:t>
      </w:r>
      <w:r w:rsidR="007F7A07" w:rsidRPr="00112D2C">
        <w:rPr>
          <w:rFonts w:asciiTheme="majorHAnsi" w:hAnsiTheme="majorHAnsi"/>
          <w:b/>
          <w:sz w:val="22"/>
          <w:szCs w:val="22"/>
        </w:rPr>
        <w:t xml:space="preserve"> 1987</w:t>
      </w:r>
      <w:r w:rsidR="00E24157" w:rsidRPr="00112D2C">
        <w:rPr>
          <w:rFonts w:asciiTheme="majorHAnsi" w:hAnsiTheme="majorHAnsi"/>
          <w:b/>
          <w:sz w:val="22"/>
          <w:szCs w:val="22"/>
        </w:rPr>
        <w:t>)</w:t>
      </w:r>
      <w:r w:rsidRPr="00112D2C">
        <w:rPr>
          <w:rFonts w:asciiTheme="majorHAnsi" w:hAnsiTheme="majorHAnsi"/>
          <w:b/>
          <w:sz w:val="22"/>
          <w:szCs w:val="22"/>
        </w:rPr>
        <w:t>:</w:t>
      </w:r>
      <w:r>
        <w:rPr>
          <w:rFonts w:asciiTheme="majorHAnsi" w:hAnsiTheme="majorHAnsi"/>
          <w:sz w:val="22"/>
          <w:szCs w:val="22"/>
        </w:rPr>
        <w:t xml:space="preserve"> </w:t>
      </w:r>
      <w:r w:rsidR="002C59E1">
        <w:rPr>
          <w:rFonts w:asciiTheme="majorHAnsi" w:hAnsiTheme="majorHAnsi"/>
          <w:sz w:val="22"/>
          <w:szCs w:val="22"/>
        </w:rPr>
        <w:t>The mutual fund industry was established in 1963 with the set-up of the Unit Trust of India</w:t>
      </w:r>
      <w:r w:rsidR="00E24157">
        <w:rPr>
          <w:rFonts w:asciiTheme="majorHAnsi" w:hAnsiTheme="majorHAnsi"/>
          <w:sz w:val="22"/>
          <w:szCs w:val="22"/>
        </w:rPr>
        <w:t xml:space="preserve"> (UTI)</w:t>
      </w:r>
      <w:r w:rsidR="002C59E1">
        <w:rPr>
          <w:rFonts w:asciiTheme="majorHAnsi" w:hAnsiTheme="majorHAnsi"/>
          <w:sz w:val="22"/>
          <w:szCs w:val="22"/>
        </w:rPr>
        <w:t>, a public sector undertaking owned jointly by the central government and the RBI</w:t>
      </w:r>
      <w:r w:rsidR="00E24157">
        <w:rPr>
          <w:rFonts w:asciiTheme="majorHAnsi" w:hAnsiTheme="majorHAnsi"/>
          <w:sz w:val="22"/>
          <w:szCs w:val="22"/>
        </w:rPr>
        <w:t xml:space="preserve">. For the entirety of this phase, UTI was </w:t>
      </w:r>
      <w:r w:rsidR="00675A78">
        <w:rPr>
          <w:rFonts w:asciiTheme="majorHAnsi" w:hAnsiTheme="majorHAnsi"/>
          <w:sz w:val="22"/>
          <w:szCs w:val="22"/>
        </w:rPr>
        <w:t>the sole player in the indus</w:t>
      </w:r>
      <w:r w:rsidR="00C5224F">
        <w:rPr>
          <w:rFonts w:asciiTheme="majorHAnsi" w:hAnsiTheme="majorHAnsi"/>
          <w:sz w:val="22"/>
          <w:szCs w:val="22"/>
        </w:rPr>
        <w:t>try.</w:t>
      </w:r>
    </w:p>
    <w:p w14:paraId="483D8F5F" w14:textId="7414A73F" w:rsidR="00E24157" w:rsidRDefault="00675A78" w:rsidP="00BC7AD7">
      <w:pPr>
        <w:spacing w:after="200" w:line="276" w:lineRule="auto"/>
        <w:rPr>
          <w:rFonts w:asciiTheme="majorHAnsi" w:hAnsiTheme="majorHAnsi"/>
          <w:sz w:val="22"/>
          <w:szCs w:val="22"/>
        </w:rPr>
      </w:pPr>
      <w:r w:rsidRPr="00112D2C">
        <w:rPr>
          <w:rFonts w:asciiTheme="majorHAnsi" w:hAnsiTheme="majorHAnsi"/>
          <w:b/>
          <w:sz w:val="22"/>
          <w:szCs w:val="22"/>
        </w:rPr>
        <w:t>Phase II (1987 – 1993):</w:t>
      </w:r>
      <w:r>
        <w:rPr>
          <w:rFonts w:asciiTheme="majorHAnsi" w:hAnsiTheme="majorHAnsi"/>
          <w:sz w:val="22"/>
          <w:szCs w:val="22"/>
        </w:rPr>
        <w:t xml:space="preserve"> </w:t>
      </w:r>
      <w:r w:rsidR="000979E9">
        <w:rPr>
          <w:rFonts w:asciiTheme="majorHAnsi" w:hAnsiTheme="majorHAnsi"/>
          <w:sz w:val="22"/>
          <w:szCs w:val="22"/>
        </w:rPr>
        <w:t xml:space="preserve">The second phase was </w:t>
      </w:r>
      <w:r w:rsidR="00025FA7">
        <w:rPr>
          <w:rFonts w:asciiTheme="majorHAnsi" w:hAnsiTheme="majorHAnsi"/>
          <w:sz w:val="22"/>
          <w:szCs w:val="22"/>
        </w:rPr>
        <w:t>characterized</w:t>
      </w:r>
      <w:r w:rsidR="000979E9">
        <w:rPr>
          <w:rFonts w:asciiTheme="majorHAnsi" w:hAnsiTheme="majorHAnsi"/>
          <w:sz w:val="22"/>
          <w:szCs w:val="22"/>
        </w:rPr>
        <w:t xml:space="preserve"> by the entry of other public sector mutual funds setup by </w:t>
      </w:r>
      <w:r w:rsidR="00132CAC">
        <w:rPr>
          <w:rFonts w:asciiTheme="majorHAnsi" w:hAnsiTheme="majorHAnsi"/>
          <w:sz w:val="22"/>
          <w:szCs w:val="22"/>
        </w:rPr>
        <w:t>public sector banks and insurance companies. During this period, the AUM of the industry grew from INR 67 billion to INR 470 billion.</w:t>
      </w:r>
    </w:p>
    <w:p w14:paraId="61F3579D" w14:textId="5E727510" w:rsidR="00132CAC" w:rsidRDefault="00132CAC" w:rsidP="00BC7AD7">
      <w:pPr>
        <w:spacing w:after="200" w:line="276" w:lineRule="auto"/>
        <w:rPr>
          <w:rFonts w:asciiTheme="majorHAnsi" w:hAnsiTheme="majorHAnsi"/>
          <w:sz w:val="22"/>
          <w:szCs w:val="22"/>
        </w:rPr>
      </w:pPr>
      <w:r w:rsidRPr="00112D2C">
        <w:rPr>
          <w:rFonts w:asciiTheme="majorHAnsi" w:hAnsiTheme="majorHAnsi"/>
          <w:b/>
          <w:sz w:val="22"/>
          <w:szCs w:val="22"/>
        </w:rPr>
        <w:t>Phase III (</w:t>
      </w:r>
      <w:r w:rsidR="007F7A07" w:rsidRPr="00112D2C">
        <w:rPr>
          <w:rFonts w:asciiTheme="majorHAnsi" w:hAnsiTheme="majorHAnsi"/>
          <w:b/>
          <w:sz w:val="22"/>
          <w:szCs w:val="22"/>
        </w:rPr>
        <w:t>1993 –):</w:t>
      </w:r>
      <w:r w:rsidR="007F7A07">
        <w:rPr>
          <w:rFonts w:asciiTheme="majorHAnsi" w:hAnsiTheme="majorHAnsi"/>
          <w:sz w:val="22"/>
          <w:szCs w:val="22"/>
        </w:rPr>
        <w:t xml:space="preserve"> </w:t>
      </w:r>
      <w:r w:rsidR="00025FA7">
        <w:rPr>
          <w:rFonts w:asciiTheme="majorHAnsi" w:hAnsiTheme="majorHAnsi"/>
          <w:sz w:val="22"/>
          <w:szCs w:val="22"/>
        </w:rPr>
        <w:t xml:space="preserve">This phase </w:t>
      </w:r>
      <w:r w:rsidR="00AF242C">
        <w:rPr>
          <w:rFonts w:asciiTheme="majorHAnsi" w:hAnsiTheme="majorHAnsi"/>
          <w:sz w:val="22"/>
          <w:szCs w:val="22"/>
        </w:rPr>
        <w:t xml:space="preserve">was </w:t>
      </w:r>
      <w:r w:rsidR="00025FA7">
        <w:rPr>
          <w:rFonts w:asciiTheme="majorHAnsi" w:hAnsiTheme="majorHAnsi"/>
          <w:sz w:val="22"/>
          <w:szCs w:val="22"/>
        </w:rPr>
        <w:t xml:space="preserve">marked </w:t>
      </w:r>
      <w:r w:rsidR="00AF242C">
        <w:rPr>
          <w:rFonts w:asciiTheme="majorHAnsi" w:hAnsiTheme="majorHAnsi"/>
          <w:sz w:val="22"/>
          <w:szCs w:val="22"/>
        </w:rPr>
        <w:t xml:space="preserve">by </w:t>
      </w:r>
      <w:r w:rsidR="00926563">
        <w:rPr>
          <w:rFonts w:asciiTheme="majorHAnsi" w:hAnsiTheme="majorHAnsi"/>
          <w:sz w:val="22"/>
          <w:szCs w:val="22"/>
        </w:rPr>
        <w:t xml:space="preserve">a fundamental transformation in the mutual fund industry in India, with the NEP opening the entire sector </w:t>
      </w:r>
      <w:r w:rsidR="00074CB5">
        <w:rPr>
          <w:rFonts w:asciiTheme="majorHAnsi" w:hAnsiTheme="majorHAnsi"/>
          <w:sz w:val="22"/>
          <w:szCs w:val="22"/>
        </w:rPr>
        <w:t>up to</w:t>
      </w:r>
      <w:r w:rsidR="00926563">
        <w:rPr>
          <w:rFonts w:asciiTheme="majorHAnsi" w:hAnsiTheme="majorHAnsi"/>
          <w:sz w:val="22"/>
          <w:szCs w:val="22"/>
        </w:rPr>
        <w:t xml:space="preserve"> private sector companies (both domestic and </w:t>
      </w:r>
      <w:r w:rsidR="00074CB5">
        <w:rPr>
          <w:rFonts w:asciiTheme="majorHAnsi" w:hAnsiTheme="majorHAnsi"/>
          <w:sz w:val="22"/>
          <w:szCs w:val="22"/>
        </w:rPr>
        <w:t>foreign)</w:t>
      </w:r>
      <w:r w:rsidR="00926563">
        <w:rPr>
          <w:rFonts w:asciiTheme="majorHAnsi" w:hAnsiTheme="majorHAnsi"/>
          <w:sz w:val="22"/>
          <w:szCs w:val="22"/>
        </w:rPr>
        <w:t xml:space="preserve">. </w:t>
      </w:r>
    </w:p>
    <w:p w14:paraId="3B5BDA8E" w14:textId="4DDC47BC" w:rsidR="00747D32" w:rsidRPr="00747D32" w:rsidRDefault="00747D32" w:rsidP="00BC7AD7">
      <w:pPr>
        <w:spacing w:after="200" w:line="276" w:lineRule="auto"/>
        <w:rPr>
          <w:rFonts w:asciiTheme="majorHAnsi" w:hAnsiTheme="majorHAnsi"/>
          <w:b/>
          <w:sz w:val="22"/>
          <w:szCs w:val="22"/>
        </w:rPr>
      </w:pPr>
      <w:r w:rsidRPr="00747D32">
        <w:rPr>
          <w:rFonts w:asciiTheme="majorHAnsi" w:hAnsiTheme="majorHAnsi"/>
          <w:b/>
          <w:sz w:val="22"/>
          <w:szCs w:val="22"/>
        </w:rPr>
        <w:t>Market Trends</w:t>
      </w:r>
    </w:p>
    <w:p w14:paraId="331898EA" w14:textId="14F52F97" w:rsidR="00716216" w:rsidRDefault="009F18DC" w:rsidP="00BC7AD7">
      <w:pPr>
        <w:spacing w:after="200" w:line="276" w:lineRule="auto"/>
        <w:rPr>
          <w:rFonts w:asciiTheme="majorHAnsi" w:hAnsiTheme="majorHAnsi"/>
          <w:sz w:val="22"/>
          <w:szCs w:val="22"/>
        </w:rPr>
      </w:pPr>
      <w:r>
        <w:rPr>
          <w:rFonts w:asciiTheme="majorHAnsi" w:hAnsiTheme="majorHAnsi"/>
          <w:sz w:val="22"/>
          <w:szCs w:val="22"/>
        </w:rPr>
        <w:t xml:space="preserve">The assets mobilized by mutual funds </w:t>
      </w:r>
      <w:r w:rsidR="000B4AAA">
        <w:rPr>
          <w:rFonts w:asciiTheme="majorHAnsi" w:hAnsiTheme="majorHAnsi"/>
          <w:sz w:val="22"/>
          <w:szCs w:val="22"/>
        </w:rPr>
        <w:t xml:space="preserve">every year </w:t>
      </w:r>
      <w:r>
        <w:rPr>
          <w:rFonts w:asciiTheme="majorHAnsi" w:hAnsiTheme="majorHAnsi"/>
          <w:sz w:val="22"/>
          <w:szCs w:val="22"/>
        </w:rPr>
        <w:t>have i</w:t>
      </w:r>
      <w:r w:rsidR="000B4AAA">
        <w:rPr>
          <w:rFonts w:asciiTheme="majorHAnsi" w:hAnsiTheme="majorHAnsi"/>
          <w:sz w:val="22"/>
          <w:szCs w:val="22"/>
        </w:rPr>
        <w:t xml:space="preserve">ncreased substantially from 1993 until now, growing from INR 130 billion to </w:t>
      </w:r>
      <w:r w:rsidR="006621FF">
        <w:rPr>
          <w:rFonts w:asciiTheme="majorHAnsi" w:hAnsiTheme="majorHAnsi"/>
          <w:sz w:val="22"/>
          <w:szCs w:val="22"/>
        </w:rPr>
        <w:t>a high of INR 1,587 billion in 2007-08. However, following the global financial crisis, the</w:t>
      </w:r>
      <w:r w:rsidR="00C20BB0">
        <w:rPr>
          <w:rFonts w:asciiTheme="majorHAnsi" w:hAnsiTheme="majorHAnsi"/>
          <w:sz w:val="22"/>
          <w:szCs w:val="22"/>
        </w:rPr>
        <w:t>se declined substantially to INR 242 billion 2008-09, before recovering to INR 749 billion in 2012-13.</w:t>
      </w:r>
      <w:r w:rsidR="00C20BB0" w:rsidRPr="000C57A5">
        <w:rPr>
          <w:rFonts w:asciiTheme="majorHAnsi" w:hAnsiTheme="majorHAnsi"/>
          <w:i/>
          <w:sz w:val="22"/>
          <w:szCs w:val="22"/>
        </w:rPr>
        <w:t xml:space="preserve"> </w:t>
      </w:r>
      <w:r w:rsidR="000C57A5" w:rsidRPr="000C57A5">
        <w:rPr>
          <w:rFonts w:asciiTheme="majorHAnsi" w:hAnsiTheme="majorHAnsi"/>
          <w:i/>
          <w:sz w:val="22"/>
          <w:szCs w:val="22"/>
        </w:rPr>
        <w:t>(Appendices: Table 11)</w:t>
      </w:r>
      <w:r w:rsidR="00533C05">
        <w:rPr>
          <w:rFonts w:asciiTheme="majorHAnsi" w:hAnsiTheme="majorHAnsi"/>
          <w:sz w:val="22"/>
          <w:szCs w:val="22"/>
        </w:rPr>
        <w:t xml:space="preserve"> </w:t>
      </w:r>
      <w:r w:rsidR="00A32B15">
        <w:rPr>
          <w:rFonts w:asciiTheme="majorHAnsi" w:hAnsiTheme="majorHAnsi"/>
          <w:sz w:val="22"/>
          <w:szCs w:val="22"/>
        </w:rPr>
        <w:t>Currently, there are around 45 mutual fund organizations in India</w:t>
      </w:r>
      <w:r w:rsidR="00E32102">
        <w:rPr>
          <w:rFonts w:asciiTheme="majorHAnsi" w:hAnsiTheme="majorHAnsi"/>
          <w:sz w:val="22"/>
          <w:szCs w:val="22"/>
        </w:rPr>
        <w:t xml:space="preserve"> and over 2,000 schemes</w:t>
      </w:r>
      <w:r w:rsidR="00A32B15">
        <w:rPr>
          <w:rFonts w:asciiTheme="majorHAnsi" w:hAnsiTheme="majorHAnsi"/>
          <w:sz w:val="22"/>
          <w:szCs w:val="22"/>
        </w:rPr>
        <w:t xml:space="preserve">, with </w:t>
      </w:r>
      <w:r w:rsidR="00C546F2">
        <w:rPr>
          <w:rFonts w:asciiTheme="majorHAnsi" w:hAnsiTheme="majorHAnsi"/>
          <w:sz w:val="22"/>
          <w:szCs w:val="22"/>
        </w:rPr>
        <w:t xml:space="preserve">total AUM </w:t>
      </w:r>
      <w:r w:rsidR="00A32B15">
        <w:rPr>
          <w:rFonts w:asciiTheme="majorHAnsi" w:hAnsiTheme="majorHAnsi"/>
          <w:sz w:val="22"/>
          <w:szCs w:val="22"/>
        </w:rPr>
        <w:t xml:space="preserve">of </w:t>
      </w:r>
      <w:r w:rsidR="00C546F2">
        <w:rPr>
          <w:rFonts w:asciiTheme="majorHAnsi" w:hAnsiTheme="majorHAnsi"/>
          <w:sz w:val="22"/>
          <w:szCs w:val="22"/>
        </w:rPr>
        <w:t xml:space="preserve">INR 10,828 billion, </w:t>
      </w:r>
      <w:r w:rsidR="00171800">
        <w:rPr>
          <w:rFonts w:asciiTheme="majorHAnsi" w:hAnsiTheme="majorHAnsi"/>
          <w:sz w:val="22"/>
          <w:szCs w:val="22"/>
        </w:rPr>
        <w:t xml:space="preserve">representing </w:t>
      </w:r>
      <w:r w:rsidR="00C546F2">
        <w:rPr>
          <w:rFonts w:asciiTheme="majorHAnsi" w:hAnsiTheme="majorHAnsi"/>
          <w:sz w:val="22"/>
          <w:szCs w:val="22"/>
        </w:rPr>
        <w:t xml:space="preserve">a CAGR of </w:t>
      </w:r>
      <w:r w:rsidR="00951ED5">
        <w:rPr>
          <w:rFonts w:asciiTheme="majorHAnsi" w:hAnsiTheme="majorHAnsi"/>
          <w:sz w:val="22"/>
          <w:szCs w:val="22"/>
        </w:rPr>
        <w:t>over 14%</w:t>
      </w:r>
      <w:r w:rsidR="00A32B15">
        <w:rPr>
          <w:rFonts w:asciiTheme="majorHAnsi" w:hAnsiTheme="majorHAnsi"/>
          <w:sz w:val="22"/>
          <w:szCs w:val="22"/>
        </w:rPr>
        <w:t xml:space="preserve"> from 1997 </w:t>
      </w:r>
      <w:r w:rsidR="00171800">
        <w:rPr>
          <w:rFonts w:asciiTheme="majorHAnsi" w:hAnsiTheme="majorHAnsi"/>
          <w:sz w:val="22"/>
          <w:szCs w:val="22"/>
        </w:rPr>
        <w:t>–</w:t>
      </w:r>
      <w:r w:rsidR="00A32B15">
        <w:rPr>
          <w:rFonts w:asciiTheme="majorHAnsi" w:hAnsiTheme="majorHAnsi"/>
          <w:sz w:val="22"/>
          <w:szCs w:val="22"/>
        </w:rPr>
        <w:t xml:space="preserve"> </w:t>
      </w:r>
      <w:r w:rsidR="00171800">
        <w:rPr>
          <w:rFonts w:asciiTheme="majorHAnsi" w:hAnsiTheme="majorHAnsi"/>
          <w:sz w:val="22"/>
          <w:szCs w:val="22"/>
        </w:rPr>
        <w:t>2015</w:t>
      </w:r>
      <w:r w:rsidR="00951ED5">
        <w:rPr>
          <w:rFonts w:asciiTheme="majorHAnsi" w:hAnsiTheme="majorHAnsi"/>
          <w:sz w:val="22"/>
          <w:szCs w:val="22"/>
        </w:rPr>
        <w:t>.</w:t>
      </w:r>
      <w:r w:rsidR="00533C05" w:rsidRPr="00AE4759">
        <w:rPr>
          <w:rFonts w:asciiTheme="majorHAnsi" w:hAnsiTheme="majorHAnsi"/>
          <w:i/>
          <w:sz w:val="22"/>
          <w:szCs w:val="22"/>
        </w:rPr>
        <w:t xml:space="preserve"> </w:t>
      </w:r>
      <w:r w:rsidR="00AE4759" w:rsidRPr="00AE4759">
        <w:rPr>
          <w:rFonts w:asciiTheme="majorHAnsi" w:hAnsiTheme="majorHAnsi"/>
          <w:i/>
          <w:sz w:val="22"/>
          <w:szCs w:val="22"/>
        </w:rPr>
        <w:t>(Appendices: Table 12)</w:t>
      </w:r>
    </w:p>
    <w:p w14:paraId="0794A620" w14:textId="00E9C8BA" w:rsidR="000762CD" w:rsidRDefault="00CC1EF9">
      <w:pPr>
        <w:rPr>
          <w:rFonts w:asciiTheme="majorHAnsi" w:hAnsiTheme="majorHAnsi"/>
          <w:sz w:val="22"/>
          <w:szCs w:val="22"/>
        </w:rPr>
      </w:pPr>
      <w:r w:rsidRPr="00CC1EF9">
        <w:rPr>
          <w:noProof/>
        </w:rPr>
        <w:drawing>
          <wp:inline distT="0" distB="0" distL="0" distR="0" wp14:anchorId="00063B04" wp14:editId="68F4B3BB">
            <wp:extent cx="3600000" cy="2520000"/>
            <wp:effectExtent l="0" t="0" r="6985"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a:ln>
                      <a:noFill/>
                    </a:ln>
                  </pic:spPr>
                </pic:pic>
              </a:graphicData>
            </a:graphic>
          </wp:inline>
        </w:drawing>
      </w:r>
    </w:p>
    <w:p w14:paraId="6CB5CA1A" w14:textId="1517354B" w:rsidR="000762CD" w:rsidRDefault="000762CD">
      <w:pPr>
        <w:rPr>
          <w:rFonts w:asciiTheme="majorHAnsi" w:hAnsiTheme="majorHAnsi"/>
          <w:sz w:val="22"/>
          <w:szCs w:val="22"/>
        </w:rPr>
      </w:pPr>
      <w:r>
        <w:rPr>
          <w:rFonts w:asciiTheme="majorHAnsi" w:hAnsiTheme="majorHAnsi"/>
          <w:sz w:val="22"/>
          <w:szCs w:val="22"/>
        </w:rPr>
        <w:br w:type="page"/>
      </w:r>
    </w:p>
    <w:p w14:paraId="36643CD0" w14:textId="340E8F50" w:rsidR="000762CD" w:rsidRPr="00112D2C" w:rsidRDefault="007B7C5F" w:rsidP="00112D2C">
      <w:pPr>
        <w:pStyle w:val="Heading2"/>
        <w:spacing w:before="0" w:after="120"/>
        <w:jc w:val="center"/>
        <w:rPr>
          <w:color w:val="auto"/>
        </w:rPr>
      </w:pPr>
      <w:bookmarkStart w:id="6" w:name="_Toc306840566"/>
      <w:r w:rsidRPr="00112D2C">
        <w:rPr>
          <w:color w:val="auto"/>
        </w:rPr>
        <w:lastRenderedPageBreak/>
        <w:t>Appendices</w:t>
      </w:r>
      <w:bookmarkEnd w:id="6"/>
    </w:p>
    <w:p w14:paraId="1B695C81" w14:textId="0FF40A74" w:rsidR="007B7C5F" w:rsidRDefault="007B7C5F" w:rsidP="000762CD">
      <w:pPr>
        <w:spacing w:after="200" w:line="276" w:lineRule="auto"/>
        <w:rPr>
          <w:rFonts w:asciiTheme="majorHAnsi" w:hAnsiTheme="majorHAnsi"/>
          <w:sz w:val="22"/>
          <w:szCs w:val="22"/>
        </w:rPr>
      </w:pPr>
      <w:r w:rsidRPr="007B7C5F">
        <w:rPr>
          <w:noProof/>
        </w:rPr>
        <w:drawing>
          <wp:inline distT="0" distB="0" distL="0" distR="0" wp14:anchorId="71F404EA" wp14:editId="085611DB">
            <wp:extent cx="5270500" cy="3947551"/>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3947551"/>
                    </a:xfrm>
                    <a:prstGeom prst="rect">
                      <a:avLst/>
                    </a:prstGeom>
                    <a:noFill/>
                    <a:ln>
                      <a:noFill/>
                    </a:ln>
                  </pic:spPr>
                </pic:pic>
              </a:graphicData>
            </a:graphic>
          </wp:inline>
        </w:drawing>
      </w:r>
    </w:p>
    <w:p w14:paraId="6EC11D27" w14:textId="77777777" w:rsidR="00CA5B60" w:rsidRDefault="00CA5B60" w:rsidP="000762CD">
      <w:pPr>
        <w:spacing w:after="200" w:line="276" w:lineRule="auto"/>
        <w:rPr>
          <w:rFonts w:asciiTheme="majorHAnsi" w:hAnsiTheme="majorHAnsi"/>
          <w:i/>
          <w:sz w:val="22"/>
          <w:szCs w:val="22"/>
        </w:rPr>
      </w:pPr>
      <w:r w:rsidRPr="00CA5B60">
        <w:rPr>
          <w:rFonts w:asciiTheme="majorHAnsi" w:hAnsiTheme="majorHAnsi"/>
          <w:i/>
          <w:sz w:val="22"/>
          <w:szCs w:val="22"/>
        </w:rPr>
        <w:t>(Source: NSE, RBI)</w:t>
      </w:r>
    </w:p>
    <w:p w14:paraId="0E48ED9D" w14:textId="77777777" w:rsidR="00A54A54" w:rsidRDefault="00A54A54" w:rsidP="000762CD">
      <w:pPr>
        <w:spacing w:after="200" w:line="276" w:lineRule="auto"/>
        <w:rPr>
          <w:rFonts w:asciiTheme="majorHAnsi" w:hAnsiTheme="majorHAnsi"/>
          <w:i/>
          <w:sz w:val="22"/>
          <w:szCs w:val="22"/>
        </w:rPr>
      </w:pPr>
      <w:r w:rsidRPr="00A54A54">
        <w:rPr>
          <w:noProof/>
        </w:rPr>
        <w:drawing>
          <wp:inline distT="0" distB="0" distL="0" distR="0" wp14:anchorId="3382FBA8" wp14:editId="35F83653">
            <wp:extent cx="5270500" cy="3469515"/>
            <wp:effectExtent l="0" t="0" r="0" b="1079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469515"/>
                    </a:xfrm>
                    <a:prstGeom prst="rect">
                      <a:avLst/>
                    </a:prstGeom>
                    <a:noFill/>
                    <a:ln>
                      <a:noFill/>
                    </a:ln>
                  </pic:spPr>
                </pic:pic>
              </a:graphicData>
            </a:graphic>
          </wp:inline>
        </w:drawing>
      </w:r>
    </w:p>
    <w:p w14:paraId="288DB2C5" w14:textId="301A407A" w:rsidR="00A54A54" w:rsidRDefault="00A54A54" w:rsidP="000762CD">
      <w:pPr>
        <w:spacing w:after="200" w:line="276" w:lineRule="auto"/>
        <w:rPr>
          <w:rFonts w:asciiTheme="majorHAnsi" w:hAnsiTheme="majorHAnsi"/>
          <w:i/>
          <w:sz w:val="22"/>
          <w:szCs w:val="22"/>
        </w:rPr>
      </w:pPr>
      <w:r>
        <w:rPr>
          <w:rFonts w:asciiTheme="majorHAnsi" w:hAnsiTheme="majorHAnsi"/>
          <w:i/>
          <w:sz w:val="22"/>
          <w:szCs w:val="22"/>
        </w:rPr>
        <w:t>(Source: RBI)</w:t>
      </w:r>
    </w:p>
    <w:p w14:paraId="16EAF43B" w14:textId="1BBCEB6C" w:rsidR="00477CD4" w:rsidRDefault="00477CD4">
      <w:pPr>
        <w:rPr>
          <w:rFonts w:asciiTheme="majorHAnsi" w:hAnsiTheme="majorHAnsi"/>
          <w:sz w:val="22"/>
          <w:szCs w:val="22"/>
        </w:rPr>
      </w:pPr>
      <w:r w:rsidRPr="00477CD4">
        <w:rPr>
          <w:noProof/>
        </w:rPr>
        <w:lastRenderedPageBreak/>
        <w:drawing>
          <wp:inline distT="0" distB="0" distL="0" distR="0" wp14:anchorId="08302CEE" wp14:editId="44DADF7F">
            <wp:extent cx="4690745" cy="4775200"/>
            <wp:effectExtent l="0" t="0" r="825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745" cy="4775200"/>
                    </a:xfrm>
                    <a:prstGeom prst="rect">
                      <a:avLst/>
                    </a:prstGeom>
                    <a:noFill/>
                    <a:ln>
                      <a:noFill/>
                    </a:ln>
                  </pic:spPr>
                </pic:pic>
              </a:graphicData>
            </a:graphic>
          </wp:inline>
        </w:drawing>
      </w:r>
    </w:p>
    <w:p w14:paraId="70616671" w14:textId="77777777" w:rsidR="00477CD4" w:rsidRDefault="00477CD4">
      <w:pPr>
        <w:rPr>
          <w:rFonts w:asciiTheme="majorHAnsi" w:hAnsiTheme="majorHAnsi"/>
          <w:i/>
          <w:sz w:val="22"/>
          <w:szCs w:val="22"/>
        </w:rPr>
      </w:pPr>
      <w:r w:rsidRPr="00477CD4">
        <w:rPr>
          <w:rFonts w:asciiTheme="majorHAnsi" w:hAnsiTheme="majorHAnsi"/>
          <w:i/>
          <w:sz w:val="22"/>
          <w:szCs w:val="22"/>
        </w:rPr>
        <w:t>(Source: NSE, RBI)</w:t>
      </w:r>
    </w:p>
    <w:p w14:paraId="49D47FA5" w14:textId="77777777" w:rsidR="001E32CE" w:rsidRDefault="001E32CE">
      <w:pPr>
        <w:rPr>
          <w:rFonts w:asciiTheme="majorHAnsi" w:hAnsiTheme="majorHAnsi"/>
          <w:i/>
          <w:sz w:val="22"/>
          <w:szCs w:val="22"/>
        </w:rPr>
      </w:pPr>
    </w:p>
    <w:p w14:paraId="6DCB652A" w14:textId="77777777" w:rsidR="001E32CE" w:rsidRDefault="001E32CE">
      <w:pPr>
        <w:rPr>
          <w:rFonts w:asciiTheme="majorHAnsi" w:hAnsiTheme="majorHAnsi"/>
          <w:i/>
          <w:sz w:val="22"/>
          <w:szCs w:val="22"/>
        </w:rPr>
      </w:pPr>
      <w:r w:rsidRPr="001E32CE">
        <w:rPr>
          <w:noProof/>
        </w:rPr>
        <w:drawing>
          <wp:inline distT="0" distB="0" distL="0" distR="0" wp14:anchorId="15682A37" wp14:editId="0FA10763">
            <wp:extent cx="2328545" cy="1668145"/>
            <wp:effectExtent l="0" t="0" r="8255" b="825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8545" cy="1668145"/>
                    </a:xfrm>
                    <a:prstGeom prst="rect">
                      <a:avLst/>
                    </a:prstGeom>
                    <a:noFill/>
                    <a:ln>
                      <a:noFill/>
                    </a:ln>
                  </pic:spPr>
                </pic:pic>
              </a:graphicData>
            </a:graphic>
          </wp:inline>
        </w:drawing>
      </w:r>
    </w:p>
    <w:p w14:paraId="7A284E00" w14:textId="063E5B5C" w:rsidR="00A54A54" w:rsidRPr="00477CD4" w:rsidRDefault="001E32CE">
      <w:pPr>
        <w:rPr>
          <w:rFonts w:asciiTheme="majorHAnsi" w:hAnsiTheme="majorHAnsi"/>
          <w:i/>
          <w:sz w:val="22"/>
          <w:szCs w:val="22"/>
        </w:rPr>
      </w:pPr>
      <w:r>
        <w:rPr>
          <w:rFonts w:asciiTheme="majorHAnsi" w:hAnsiTheme="majorHAnsi"/>
          <w:i/>
          <w:sz w:val="22"/>
          <w:szCs w:val="22"/>
        </w:rPr>
        <w:t>(Source: NSE, RBI)</w:t>
      </w:r>
      <w:r w:rsidR="00A54A54" w:rsidRPr="00477CD4">
        <w:rPr>
          <w:rFonts w:asciiTheme="majorHAnsi" w:hAnsiTheme="majorHAnsi"/>
          <w:i/>
          <w:sz w:val="22"/>
          <w:szCs w:val="22"/>
        </w:rPr>
        <w:br w:type="page"/>
      </w:r>
    </w:p>
    <w:p w14:paraId="4B7A5BA2" w14:textId="08BB7A2E" w:rsidR="00A54A54" w:rsidRPr="00624FBF" w:rsidRDefault="00624FBF" w:rsidP="000762CD">
      <w:pPr>
        <w:spacing w:after="200" w:line="276" w:lineRule="auto"/>
        <w:rPr>
          <w:rFonts w:asciiTheme="majorHAnsi" w:hAnsiTheme="majorHAnsi"/>
          <w:sz w:val="22"/>
          <w:szCs w:val="22"/>
        </w:rPr>
      </w:pPr>
      <w:r w:rsidRPr="00624FBF">
        <w:rPr>
          <w:noProof/>
        </w:rPr>
        <w:lastRenderedPageBreak/>
        <w:drawing>
          <wp:inline distT="0" distB="0" distL="0" distR="0" wp14:anchorId="128938F4" wp14:editId="450916C6">
            <wp:extent cx="1668145" cy="5003800"/>
            <wp:effectExtent l="0" t="0" r="8255"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8145" cy="5003800"/>
                    </a:xfrm>
                    <a:prstGeom prst="rect">
                      <a:avLst/>
                    </a:prstGeom>
                    <a:noFill/>
                    <a:ln>
                      <a:noFill/>
                    </a:ln>
                  </pic:spPr>
                </pic:pic>
              </a:graphicData>
            </a:graphic>
          </wp:inline>
        </w:drawing>
      </w:r>
    </w:p>
    <w:p w14:paraId="31FF9C7F" w14:textId="77777777" w:rsidR="00624FBF" w:rsidRDefault="00624FBF" w:rsidP="000762CD">
      <w:pPr>
        <w:spacing w:after="200" w:line="276" w:lineRule="auto"/>
        <w:rPr>
          <w:rFonts w:asciiTheme="majorHAnsi" w:hAnsiTheme="majorHAnsi"/>
          <w:i/>
          <w:sz w:val="22"/>
          <w:szCs w:val="22"/>
        </w:rPr>
      </w:pPr>
      <w:r>
        <w:rPr>
          <w:rFonts w:asciiTheme="majorHAnsi" w:hAnsiTheme="majorHAnsi"/>
          <w:i/>
          <w:sz w:val="22"/>
          <w:szCs w:val="22"/>
        </w:rPr>
        <w:t>(Source: RBI)</w:t>
      </w:r>
    </w:p>
    <w:p w14:paraId="1BA57869" w14:textId="77777777" w:rsidR="002A4F3C" w:rsidRDefault="002A4F3C" w:rsidP="000762CD">
      <w:pPr>
        <w:spacing w:after="200" w:line="276" w:lineRule="auto"/>
        <w:rPr>
          <w:rFonts w:asciiTheme="majorHAnsi" w:hAnsiTheme="majorHAnsi"/>
          <w:i/>
          <w:sz w:val="22"/>
          <w:szCs w:val="22"/>
        </w:rPr>
        <w:sectPr w:rsidR="002A4F3C" w:rsidSect="00AF4D4F">
          <w:footerReference w:type="even" r:id="rId28"/>
          <w:footerReference w:type="default" r:id="rId29"/>
          <w:pgSz w:w="11900" w:h="16840"/>
          <w:pgMar w:top="1440" w:right="1800" w:bottom="1440" w:left="1800" w:header="708" w:footer="708" w:gutter="0"/>
          <w:cols w:space="708"/>
          <w:docGrid w:linePitch="360"/>
        </w:sectPr>
      </w:pPr>
    </w:p>
    <w:p w14:paraId="004CABE3" w14:textId="7D1015EE" w:rsidR="002A4F3C" w:rsidRDefault="002A4F3C" w:rsidP="000762CD">
      <w:pPr>
        <w:spacing w:after="200" w:line="276" w:lineRule="auto"/>
        <w:rPr>
          <w:rFonts w:asciiTheme="majorHAnsi" w:hAnsiTheme="majorHAnsi"/>
          <w:i/>
          <w:sz w:val="22"/>
          <w:szCs w:val="22"/>
        </w:rPr>
      </w:pPr>
      <w:r w:rsidRPr="002A4F3C">
        <w:rPr>
          <w:noProof/>
        </w:rPr>
        <w:lastRenderedPageBreak/>
        <w:drawing>
          <wp:inline distT="0" distB="0" distL="0" distR="0" wp14:anchorId="597BA5CD" wp14:editId="6D0F556A">
            <wp:extent cx="8851900" cy="3767684"/>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1900" cy="3767684"/>
                    </a:xfrm>
                    <a:prstGeom prst="rect">
                      <a:avLst/>
                    </a:prstGeom>
                    <a:noFill/>
                    <a:ln>
                      <a:noFill/>
                    </a:ln>
                  </pic:spPr>
                </pic:pic>
              </a:graphicData>
            </a:graphic>
          </wp:inline>
        </w:drawing>
      </w:r>
    </w:p>
    <w:p w14:paraId="186AD7FE" w14:textId="70B31031" w:rsidR="002A4F3C" w:rsidRDefault="002A4F3C" w:rsidP="000762CD">
      <w:pPr>
        <w:spacing w:after="200" w:line="276" w:lineRule="auto"/>
        <w:rPr>
          <w:rFonts w:asciiTheme="majorHAnsi" w:hAnsiTheme="majorHAnsi"/>
          <w:i/>
          <w:sz w:val="22"/>
          <w:szCs w:val="22"/>
        </w:rPr>
        <w:sectPr w:rsidR="002A4F3C" w:rsidSect="002A4F3C">
          <w:pgSz w:w="16820" w:h="11900" w:orient="landscape"/>
          <w:pgMar w:top="1800" w:right="1440" w:bottom="1800" w:left="1440" w:header="708" w:footer="708" w:gutter="0"/>
          <w:cols w:space="708"/>
          <w:docGrid w:linePitch="360"/>
        </w:sectPr>
      </w:pPr>
      <w:r>
        <w:rPr>
          <w:rFonts w:asciiTheme="majorHAnsi" w:hAnsiTheme="majorHAnsi"/>
          <w:i/>
          <w:sz w:val="22"/>
          <w:szCs w:val="22"/>
        </w:rPr>
        <w:t>(Source: RBI, NSE)</w:t>
      </w:r>
    </w:p>
    <w:p w14:paraId="5C9B9355" w14:textId="77777777" w:rsidR="00CB48FB" w:rsidRDefault="00CB48FB" w:rsidP="000762CD">
      <w:pPr>
        <w:spacing w:after="200" w:line="276" w:lineRule="auto"/>
        <w:rPr>
          <w:rFonts w:asciiTheme="majorHAnsi" w:hAnsiTheme="majorHAnsi"/>
          <w:i/>
          <w:sz w:val="22"/>
          <w:szCs w:val="22"/>
        </w:rPr>
      </w:pPr>
      <w:r w:rsidRPr="00CB48FB">
        <w:rPr>
          <w:noProof/>
        </w:rPr>
        <w:drawing>
          <wp:inline distT="0" distB="0" distL="0" distR="0" wp14:anchorId="3DDE3F32" wp14:editId="6B6D567B">
            <wp:extent cx="5270500" cy="2292017"/>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92017"/>
                    </a:xfrm>
                    <a:prstGeom prst="rect">
                      <a:avLst/>
                    </a:prstGeom>
                    <a:noFill/>
                    <a:ln>
                      <a:noFill/>
                    </a:ln>
                  </pic:spPr>
                </pic:pic>
              </a:graphicData>
            </a:graphic>
          </wp:inline>
        </w:drawing>
      </w:r>
    </w:p>
    <w:p w14:paraId="34A27639" w14:textId="77777777" w:rsidR="00090248" w:rsidRDefault="00CB48FB" w:rsidP="000762CD">
      <w:pPr>
        <w:spacing w:after="200" w:line="276" w:lineRule="auto"/>
        <w:rPr>
          <w:rFonts w:asciiTheme="majorHAnsi" w:hAnsiTheme="majorHAnsi"/>
          <w:i/>
          <w:sz w:val="22"/>
          <w:szCs w:val="22"/>
        </w:rPr>
      </w:pPr>
      <w:r>
        <w:rPr>
          <w:rFonts w:asciiTheme="majorHAnsi" w:hAnsiTheme="majorHAnsi"/>
          <w:i/>
          <w:sz w:val="22"/>
          <w:szCs w:val="22"/>
        </w:rPr>
        <w:t>(Source: NSE)</w:t>
      </w:r>
    </w:p>
    <w:p w14:paraId="3E921871" w14:textId="77777777" w:rsidR="00CF00D6" w:rsidRDefault="00CF00D6" w:rsidP="000762CD">
      <w:pPr>
        <w:spacing w:after="200" w:line="276" w:lineRule="auto"/>
        <w:rPr>
          <w:rFonts w:asciiTheme="majorHAnsi" w:hAnsiTheme="majorHAnsi"/>
          <w:i/>
          <w:sz w:val="22"/>
          <w:szCs w:val="22"/>
        </w:rPr>
      </w:pPr>
      <w:r w:rsidRPr="00CF00D6">
        <w:rPr>
          <w:noProof/>
        </w:rPr>
        <w:drawing>
          <wp:inline distT="0" distB="0" distL="0" distR="0" wp14:anchorId="3F953FB6" wp14:editId="09EC4B79">
            <wp:extent cx="3606800" cy="480060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800" cy="4800600"/>
                    </a:xfrm>
                    <a:prstGeom prst="rect">
                      <a:avLst/>
                    </a:prstGeom>
                    <a:noFill/>
                    <a:ln>
                      <a:noFill/>
                    </a:ln>
                  </pic:spPr>
                </pic:pic>
              </a:graphicData>
            </a:graphic>
          </wp:inline>
        </w:drawing>
      </w:r>
    </w:p>
    <w:p w14:paraId="3AD5262E" w14:textId="77777777" w:rsidR="00700C9D" w:rsidRDefault="00CF00D6" w:rsidP="000762CD">
      <w:pPr>
        <w:spacing w:after="200" w:line="276" w:lineRule="auto"/>
        <w:rPr>
          <w:rFonts w:asciiTheme="majorHAnsi" w:hAnsiTheme="majorHAnsi"/>
          <w:i/>
          <w:sz w:val="22"/>
          <w:szCs w:val="22"/>
        </w:rPr>
      </w:pPr>
      <w:r>
        <w:rPr>
          <w:rFonts w:asciiTheme="majorHAnsi" w:hAnsiTheme="majorHAnsi"/>
          <w:i/>
          <w:sz w:val="22"/>
          <w:szCs w:val="22"/>
        </w:rPr>
        <w:t>(Source: NSE, BSE)</w:t>
      </w:r>
    </w:p>
    <w:p w14:paraId="251F0B27" w14:textId="77777777" w:rsidR="00D11533" w:rsidRDefault="00D11533" w:rsidP="000762CD">
      <w:pPr>
        <w:spacing w:after="200" w:line="276" w:lineRule="auto"/>
        <w:rPr>
          <w:rFonts w:asciiTheme="majorHAnsi" w:hAnsiTheme="majorHAnsi"/>
          <w:i/>
          <w:sz w:val="22"/>
          <w:szCs w:val="22"/>
        </w:rPr>
        <w:sectPr w:rsidR="00D11533" w:rsidSect="00AF4D4F">
          <w:pgSz w:w="11900" w:h="16840"/>
          <w:pgMar w:top="1440" w:right="1800" w:bottom="1440" w:left="1800" w:header="708" w:footer="708" w:gutter="0"/>
          <w:cols w:space="708"/>
          <w:docGrid w:linePitch="360"/>
        </w:sectPr>
      </w:pPr>
    </w:p>
    <w:p w14:paraId="7ACB19C8" w14:textId="538052B6" w:rsidR="00D11533" w:rsidRDefault="00D11533" w:rsidP="000762CD">
      <w:pPr>
        <w:spacing w:after="200" w:line="276" w:lineRule="auto"/>
        <w:rPr>
          <w:rFonts w:asciiTheme="majorHAnsi" w:hAnsiTheme="majorHAnsi"/>
          <w:i/>
          <w:sz w:val="22"/>
          <w:szCs w:val="22"/>
        </w:rPr>
      </w:pPr>
      <w:r w:rsidRPr="00D11533">
        <w:rPr>
          <w:noProof/>
        </w:rPr>
        <w:drawing>
          <wp:inline distT="0" distB="0" distL="0" distR="0" wp14:anchorId="7078A90B" wp14:editId="40A89F7C">
            <wp:extent cx="7188200" cy="3827145"/>
            <wp:effectExtent l="0" t="0" r="0" b="8255"/>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8200" cy="3827145"/>
                    </a:xfrm>
                    <a:prstGeom prst="rect">
                      <a:avLst/>
                    </a:prstGeom>
                    <a:noFill/>
                    <a:ln>
                      <a:noFill/>
                    </a:ln>
                  </pic:spPr>
                </pic:pic>
              </a:graphicData>
            </a:graphic>
          </wp:inline>
        </w:drawing>
      </w:r>
    </w:p>
    <w:p w14:paraId="03061F85" w14:textId="5D5C5E91" w:rsidR="00D11533" w:rsidRDefault="00D11533" w:rsidP="000762CD">
      <w:pPr>
        <w:spacing w:after="200" w:line="276" w:lineRule="auto"/>
        <w:rPr>
          <w:rFonts w:asciiTheme="majorHAnsi" w:hAnsiTheme="majorHAnsi"/>
          <w:i/>
          <w:sz w:val="22"/>
          <w:szCs w:val="22"/>
        </w:rPr>
        <w:sectPr w:rsidR="00D11533" w:rsidSect="00D11533">
          <w:pgSz w:w="16820" w:h="11900" w:orient="landscape"/>
          <w:pgMar w:top="1800" w:right="1440" w:bottom="1800" w:left="1440" w:header="708" w:footer="708" w:gutter="0"/>
          <w:cols w:space="708"/>
          <w:docGrid w:linePitch="360"/>
        </w:sectPr>
      </w:pPr>
      <w:r>
        <w:rPr>
          <w:rFonts w:asciiTheme="majorHAnsi" w:hAnsiTheme="majorHAnsi"/>
          <w:i/>
          <w:sz w:val="22"/>
          <w:szCs w:val="22"/>
        </w:rPr>
        <w:t>(Source: NSE, BSE)</w:t>
      </w:r>
    </w:p>
    <w:p w14:paraId="6453672A" w14:textId="77777777" w:rsidR="00231C00" w:rsidRDefault="00231C00" w:rsidP="000762CD">
      <w:pPr>
        <w:spacing w:after="200" w:line="276" w:lineRule="auto"/>
        <w:rPr>
          <w:rFonts w:asciiTheme="majorHAnsi" w:hAnsiTheme="majorHAnsi"/>
          <w:i/>
          <w:sz w:val="22"/>
          <w:szCs w:val="22"/>
        </w:rPr>
      </w:pPr>
      <w:r w:rsidRPr="00231C00">
        <w:rPr>
          <w:noProof/>
        </w:rPr>
        <w:drawing>
          <wp:inline distT="0" distB="0" distL="0" distR="0" wp14:anchorId="456280E3" wp14:editId="509735A0">
            <wp:extent cx="4436745" cy="2531745"/>
            <wp:effectExtent l="0" t="0" r="8255" b="825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6745" cy="2531745"/>
                    </a:xfrm>
                    <a:prstGeom prst="rect">
                      <a:avLst/>
                    </a:prstGeom>
                    <a:noFill/>
                    <a:ln>
                      <a:noFill/>
                    </a:ln>
                  </pic:spPr>
                </pic:pic>
              </a:graphicData>
            </a:graphic>
          </wp:inline>
        </w:drawing>
      </w:r>
    </w:p>
    <w:p w14:paraId="3B0A0ACB" w14:textId="77777777" w:rsidR="00231C00" w:rsidRDefault="00231C00" w:rsidP="000762CD">
      <w:pPr>
        <w:spacing w:after="200" w:line="276" w:lineRule="auto"/>
        <w:rPr>
          <w:rFonts w:asciiTheme="majorHAnsi" w:hAnsiTheme="majorHAnsi"/>
          <w:i/>
          <w:sz w:val="22"/>
          <w:szCs w:val="22"/>
        </w:rPr>
      </w:pPr>
      <w:r>
        <w:rPr>
          <w:rFonts w:asciiTheme="majorHAnsi" w:hAnsiTheme="majorHAnsi"/>
          <w:i/>
          <w:sz w:val="22"/>
          <w:szCs w:val="22"/>
        </w:rPr>
        <w:t>(Source: NSE)</w:t>
      </w:r>
    </w:p>
    <w:p w14:paraId="72F22E50" w14:textId="77777777" w:rsidR="001548D6" w:rsidRDefault="001548D6" w:rsidP="000762CD">
      <w:pPr>
        <w:spacing w:after="200" w:line="276" w:lineRule="auto"/>
        <w:rPr>
          <w:rFonts w:asciiTheme="majorHAnsi" w:hAnsiTheme="majorHAnsi"/>
          <w:i/>
          <w:sz w:val="22"/>
          <w:szCs w:val="22"/>
        </w:rPr>
      </w:pPr>
      <w:r w:rsidRPr="001548D6">
        <w:rPr>
          <w:noProof/>
        </w:rPr>
        <w:drawing>
          <wp:inline distT="0" distB="0" distL="0" distR="0" wp14:anchorId="1955DE28" wp14:editId="4996D2EC">
            <wp:extent cx="3937000" cy="7061200"/>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7000" cy="7061200"/>
                    </a:xfrm>
                    <a:prstGeom prst="rect">
                      <a:avLst/>
                    </a:prstGeom>
                    <a:noFill/>
                    <a:ln>
                      <a:noFill/>
                    </a:ln>
                  </pic:spPr>
                </pic:pic>
              </a:graphicData>
            </a:graphic>
          </wp:inline>
        </w:drawing>
      </w:r>
    </w:p>
    <w:p w14:paraId="4D076E14" w14:textId="66F23AF5" w:rsidR="00E154DC" w:rsidRDefault="001548D6" w:rsidP="000762CD">
      <w:pPr>
        <w:spacing w:after="200" w:line="276" w:lineRule="auto"/>
        <w:rPr>
          <w:rFonts w:asciiTheme="majorHAnsi" w:hAnsiTheme="majorHAnsi"/>
          <w:i/>
          <w:sz w:val="22"/>
          <w:szCs w:val="22"/>
        </w:rPr>
      </w:pPr>
      <w:r>
        <w:rPr>
          <w:rFonts w:asciiTheme="majorHAnsi" w:hAnsiTheme="majorHAnsi"/>
          <w:i/>
          <w:sz w:val="22"/>
          <w:szCs w:val="22"/>
        </w:rPr>
        <w:t xml:space="preserve">(Source: </w:t>
      </w:r>
      <w:r w:rsidR="00E154DC">
        <w:rPr>
          <w:rFonts w:asciiTheme="majorHAnsi" w:hAnsiTheme="majorHAnsi"/>
          <w:i/>
          <w:sz w:val="22"/>
          <w:szCs w:val="22"/>
        </w:rPr>
        <w:t>AMFI</w:t>
      </w:r>
      <w:r w:rsidR="00DB09BE">
        <w:rPr>
          <w:rFonts w:asciiTheme="majorHAnsi" w:hAnsiTheme="majorHAnsi"/>
          <w:i/>
          <w:sz w:val="22"/>
          <w:szCs w:val="22"/>
        </w:rPr>
        <w:t>, RBI</w:t>
      </w:r>
      <w:r w:rsidR="00E154DC">
        <w:rPr>
          <w:rFonts w:asciiTheme="majorHAnsi" w:hAnsiTheme="majorHAnsi"/>
          <w:i/>
          <w:sz w:val="22"/>
          <w:szCs w:val="22"/>
        </w:rPr>
        <w:t>)</w:t>
      </w:r>
    </w:p>
    <w:p w14:paraId="07411E93" w14:textId="77777777" w:rsidR="004830B3" w:rsidRDefault="004830B3">
      <w:pPr>
        <w:rPr>
          <w:rFonts w:asciiTheme="majorHAnsi" w:hAnsiTheme="majorHAnsi"/>
          <w:i/>
          <w:sz w:val="22"/>
          <w:szCs w:val="22"/>
        </w:rPr>
      </w:pPr>
      <w:r>
        <w:rPr>
          <w:rFonts w:asciiTheme="majorHAnsi" w:hAnsiTheme="majorHAnsi"/>
          <w:i/>
          <w:sz w:val="22"/>
          <w:szCs w:val="22"/>
        </w:rPr>
        <w:br w:type="page"/>
      </w:r>
    </w:p>
    <w:p w14:paraId="4C458656" w14:textId="77777777" w:rsidR="007F239F" w:rsidRDefault="007F239F" w:rsidP="000762CD">
      <w:pPr>
        <w:spacing w:after="200" w:line="276" w:lineRule="auto"/>
        <w:rPr>
          <w:rFonts w:asciiTheme="majorHAnsi" w:hAnsiTheme="majorHAnsi"/>
          <w:i/>
          <w:sz w:val="22"/>
          <w:szCs w:val="22"/>
        </w:rPr>
      </w:pPr>
      <w:r w:rsidRPr="007F239F">
        <w:rPr>
          <w:noProof/>
        </w:rPr>
        <w:drawing>
          <wp:inline distT="0" distB="0" distL="0" distR="0" wp14:anchorId="41ABFE33" wp14:editId="003E6074">
            <wp:extent cx="1295400" cy="4792345"/>
            <wp:effectExtent l="0" t="0" r="0" b="8255"/>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4792345"/>
                    </a:xfrm>
                    <a:prstGeom prst="rect">
                      <a:avLst/>
                    </a:prstGeom>
                    <a:noFill/>
                    <a:ln>
                      <a:noFill/>
                    </a:ln>
                  </pic:spPr>
                </pic:pic>
              </a:graphicData>
            </a:graphic>
          </wp:inline>
        </w:drawing>
      </w:r>
    </w:p>
    <w:p w14:paraId="0A9D54DA" w14:textId="75CCB4BF" w:rsidR="007815C6" w:rsidRPr="00CA5B60" w:rsidRDefault="007F239F" w:rsidP="000762CD">
      <w:pPr>
        <w:spacing w:after="200" w:line="276" w:lineRule="auto"/>
        <w:rPr>
          <w:rFonts w:asciiTheme="majorHAnsi" w:hAnsiTheme="majorHAnsi"/>
          <w:i/>
          <w:sz w:val="22"/>
          <w:szCs w:val="22"/>
        </w:rPr>
      </w:pPr>
      <w:r>
        <w:rPr>
          <w:rFonts w:asciiTheme="majorHAnsi" w:hAnsiTheme="majorHAnsi"/>
          <w:i/>
          <w:sz w:val="22"/>
          <w:szCs w:val="22"/>
        </w:rPr>
        <w:t>(Source: AMFI</w:t>
      </w:r>
      <w:r w:rsidR="00DB09BE">
        <w:rPr>
          <w:rFonts w:asciiTheme="majorHAnsi" w:hAnsiTheme="majorHAnsi"/>
          <w:i/>
          <w:sz w:val="22"/>
          <w:szCs w:val="22"/>
        </w:rPr>
        <w:t>, RBI</w:t>
      </w:r>
      <w:r>
        <w:rPr>
          <w:rFonts w:asciiTheme="majorHAnsi" w:hAnsiTheme="majorHAnsi"/>
          <w:i/>
          <w:sz w:val="22"/>
          <w:szCs w:val="22"/>
        </w:rPr>
        <w:t>)</w:t>
      </w:r>
      <w:r w:rsidR="007815C6" w:rsidRPr="00CA5B60">
        <w:rPr>
          <w:rFonts w:asciiTheme="majorHAnsi" w:hAnsiTheme="majorHAnsi"/>
          <w:i/>
          <w:sz w:val="22"/>
          <w:szCs w:val="22"/>
        </w:rPr>
        <w:br w:type="page"/>
      </w:r>
    </w:p>
    <w:p w14:paraId="1CC11E29" w14:textId="7C7EB154" w:rsidR="008977BB" w:rsidRPr="00112D2C" w:rsidRDefault="00112D2C" w:rsidP="00112D2C">
      <w:pPr>
        <w:pStyle w:val="Heading2"/>
        <w:spacing w:before="0" w:after="120"/>
        <w:jc w:val="center"/>
        <w:rPr>
          <w:color w:val="auto"/>
        </w:rPr>
      </w:pPr>
      <w:bookmarkStart w:id="7" w:name="_Toc306840567"/>
      <w:r w:rsidRPr="00112D2C">
        <w:rPr>
          <w:color w:val="auto"/>
        </w:rPr>
        <w:t>Sources</w:t>
      </w:r>
      <w:bookmarkEnd w:id="7"/>
    </w:p>
    <w:p w14:paraId="37AED659" w14:textId="2FE9186E" w:rsidR="007815C6" w:rsidRPr="00112D2C" w:rsidRDefault="007815C6" w:rsidP="00112D2C">
      <w:pPr>
        <w:pStyle w:val="ListParagraph"/>
        <w:numPr>
          <w:ilvl w:val="0"/>
          <w:numId w:val="11"/>
        </w:numPr>
        <w:spacing w:after="200" w:line="276" w:lineRule="auto"/>
        <w:rPr>
          <w:rFonts w:asciiTheme="majorHAnsi" w:hAnsiTheme="majorHAnsi"/>
          <w:sz w:val="22"/>
          <w:szCs w:val="22"/>
        </w:rPr>
      </w:pPr>
      <w:r w:rsidRPr="00112D2C">
        <w:rPr>
          <w:rFonts w:asciiTheme="majorHAnsi" w:hAnsiTheme="majorHAnsi"/>
          <w:sz w:val="22"/>
          <w:szCs w:val="22"/>
        </w:rPr>
        <w:t>RBI</w:t>
      </w:r>
      <w:r w:rsidR="00112D2C">
        <w:rPr>
          <w:rFonts w:asciiTheme="majorHAnsi" w:hAnsiTheme="majorHAnsi"/>
          <w:sz w:val="22"/>
          <w:szCs w:val="22"/>
        </w:rPr>
        <w:t xml:space="preserve"> (www.rbi.org.in)</w:t>
      </w:r>
    </w:p>
    <w:p w14:paraId="4C79857A" w14:textId="4DE7C5C2" w:rsidR="007815C6" w:rsidRDefault="007815C6" w:rsidP="00BC7AD7">
      <w:pPr>
        <w:pStyle w:val="ListParagraph"/>
        <w:numPr>
          <w:ilvl w:val="0"/>
          <w:numId w:val="11"/>
        </w:numPr>
        <w:spacing w:after="200" w:line="276" w:lineRule="auto"/>
        <w:rPr>
          <w:rFonts w:asciiTheme="majorHAnsi" w:hAnsiTheme="majorHAnsi"/>
          <w:sz w:val="22"/>
          <w:szCs w:val="22"/>
        </w:rPr>
      </w:pPr>
      <w:r w:rsidRPr="00112D2C">
        <w:rPr>
          <w:rFonts w:asciiTheme="majorHAnsi" w:hAnsiTheme="majorHAnsi"/>
          <w:sz w:val="22"/>
          <w:szCs w:val="22"/>
        </w:rPr>
        <w:t>AMFI</w:t>
      </w:r>
      <w:r w:rsidR="00112D2C">
        <w:rPr>
          <w:rFonts w:asciiTheme="majorHAnsi" w:hAnsiTheme="majorHAnsi"/>
          <w:sz w:val="22"/>
          <w:szCs w:val="22"/>
        </w:rPr>
        <w:t xml:space="preserve"> </w:t>
      </w:r>
      <w:r w:rsidR="00740A6A">
        <w:rPr>
          <w:rFonts w:asciiTheme="majorHAnsi" w:hAnsiTheme="majorHAnsi"/>
          <w:sz w:val="22"/>
          <w:szCs w:val="22"/>
        </w:rPr>
        <w:t xml:space="preserve">(Association of Mutual Funds of India) </w:t>
      </w:r>
      <w:r w:rsidR="00112D2C">
        <w:rPr>
          <w:rFonts w:asciiTheme="majorHAnsi" w:hAnsiTheme="majorHAnsi"/>
          <w:sz w:val="22"/>
          <w:szCs w:val="22"/>
        </w:rPr>
        <w:t>(www.</w:t>
      </w:r>
      <w:r w:rsidR="00740A6A">
        <w:rPr>
          <w:rFonts w:asciiTheme="majorHAnsi" w:hAnsiTheme="majorHAnsi"/>
          <w:sz w:val="22"/>
          <w:szCs w:val="22"/>
        </w:rPr>
        <w:t>amfiindia.com)</w:t>
      </w:r>
    </w:p>
    <w:p w14:paraId="11032957" w14:textId="4F9A7E24" w:rsidR="007815C6" w:rsidRDefault="007815C6" w:rsidP="00BC7AD7">
      <w:pPr>
        <w:pStyle w:val="ListParagraph"/>
        <w:numPr>
          <w:ilvl w:val="0"/>
          <w:numId w:val="11"/>
        </w:numPr>
        <w:spacing w:after="200" w:line="276" w:lineRule="auto"/>
        <w:rPr>
          <w:rFonts w:asciiTheme="majorHAnsi" w:hAnsiTheme="majorHAnsi"/>
          <w:sz w:val="22"/>
          <w:szCs w:val="22"/>
        </w:rPr>
      </w:pPr>
      <w:r w:rsidRPr="00112D2C">
        <w:rPr>
          <w:rFonts w:asciiTheme="majorHAnsi" w:hAnsiTheme="majorHAnsi"/>
          <w:sz w:val="22"/>
          <w:szCs w:val="22"/>
        </w:rPr>
        <w:t>SEBI</w:t>
      </w:r>
      <w:r w:rsidR="00740A6A">
        <w:rPr>
          <w:rFonts w:asciiTheme="majorHAnsi" w:hAnsiTheme="majorHAnsi"/>
          <w:sz w:val="22"/>
          <w:szCs w:val="22"/>
        </w:rPr>
        <w:t xml:space="preserve"> (www.sebi.gov.in)</w:t>
      </w:r>
    </w:p>
    <w:p w14:paraId="0BDEE0D3" w14:textId="74E5FCAC" w:rsidR="007815C6" w:rsidRDefault="007815C6" w:rsidP="00BC7AD7">
      <w:pPr>
        <w:pStyle w:val="ListParagraph"/>
        <w:numPr>
          <w:ilvl w:val="0"/>
          <w:numId w:val="11"/>
        </w:numPr>
        <w:spacing w:after="200" w:line="276" w:lineRule="auto"/>
        <w:rPr>
          <w:rFonts w:asciiTheme="majorHAnsi" w:hAnsiTheme="majorHAnsi"/>
          <w:sz w:val="22"/>
          <w:szCs w:val="22"/>
        </w:rPr>
      </w:pPr>
      <w:r w:rsidRPr="00112D2C">
        <w:rPr>
          <w:rFonts w:asciiTheme="majorHAnsi" w:hAnsiTheme="majorHAnsi"/>
          <w:sz w:val="22"/>
          <w:szCs w:val="22"/>
        </w:rPr>
        <w:t>NSE</w:t>
      </w:r>
      <w:r w:rsidR="00740A6A">
        <w:rPr>
          <w:rFonts w:asciiTheme="majorHAnsi" w:hAnsiTheme="majorHAnsi"/>
          <w:sz w:val="22"/>
          <w:szCs w:val="22"/>
        </w:rPr>
        <w:t xml:space="preserve"> (www.nseindia.com)</w:t>
      </w:r>
    </w:p>
    <w:p w14:paraId="0B0335AF" w14:textId="79C7953E" w:rsidR="007815C6" w:rsidRDefault="007815C6" w:rsidP="00BC7AD7">
      <w:pPr>
        <w:pStyle w:val="ListParagraph"/>
        <w:numPr>
          <w:ilvl w:val="0"/>
          <w:numId w:val="11"/>
        </w:numPr>
        <w:spacing w:after="200" w:line="276" w:lineRule="auto"/>
        <w:rPr>
          <w:rFonts w:asciiTheme="majorHAnsi" w:hAnsiTheme="majorHAnsi"/>
          <w:sz w:val="22"/>
          <w:szCs w:val="22"/>
        </w:rPr>
      </w:pPr>
      <w:r w:rsidRPr="00112D2C">
        <w:rPr>
          <w:rFonts w:asciiTheme="majorHAnsi" w:hAnsiTheme="majorHAnsi"/>
          <w:sz w:val="22"/>
          <w:szCs w:val="22"/>
        </w:rPr>
        <w:t>BSE</w:t>
      </w:r>
      <w:r w:rsidR="00740A6A">
        <w:rPr>
          <w:rFonts w:asciiTheme="majorHAnsi" w:hAnsiTheme="majorHAnsi"/>
          <w:sz w:val="22"/>
          <w:szCs w:val="22"/>
        </w:rPr>
        <w:t xml:space="preserve"> (</w:t>
      </w:r>
      <w:r w:rsidR="00740A6A" w:rsidRPr="00734803">
        <w:rPr>
          <w:rFonts w:asciiTheme="majorHAnsi" w:hAnsiTheme="majorHAnsi"/>
          <w:sz w:val="22"/>
          <w:szCs w:val="22"/>
        </w:rPr>
        <w:t>www.bseindia.com</w:t>
      </w:r>
      <w:r w:rsidR="00740A6A">
        <w:rPr>
          <w:rFonts w:asciiTheme="majorHAnsi" w:hAnsiTheme="majorHAnsi"/>
          <w:sz w:val="22"/>
          <w:szCs w:val="22"/>
        </w:rPr>
        <w:t>)</w:t>
      </w:r>
    </w:p>
    <w:p w14:paraId="50236869" w14:textId="253A75ED" w:rsidR="00740A6A" w:rsidRDefault="00A4457D" w:rsidP="00BC7AD7">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 xml:space="preserve">NCFM: Capital Markets, Debt Markets, </w:t>
      </w:r>
      <w:r w:rsidR="00606192">
        <w:rPr>
          <w:rFonts w:asciiTheme="majorHAnsi" w:hAnsiTheme="majorHAnsi"/>
          <w:sz w:val="22"/>
          <w:szCs w:val="22"/>
        </w:rPr>
        <w:t>Derivatives, Mutual Funds modules</w:t>
      </w:r>
    </w:p>
    <w:p w14:paraId="020EE9D3" w14:textId="6882A657" w:rsidR="00E51D70" w:rsidRDefault="00E51D70" w:rsidP="00BC7AD7">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‘India’s bond market – developments and challenges ahead’, Stephen Wells and Lotte Schou-Zibell</w:t>
      </w:r>
      <w:r w:rsidR="004A2B9D">
        <w:rPr>
          <w:rFonts w:asciiTheme="majorHAnsi" w:hAnsiTheme="majorHAnsi"/>
          <w:sz w:val="22"/>
          <w:szCs w:val="22"/>
        </w:rPr>
        <w:t>, ADB Publications</w:t>
      </w:r>
    </w:p>
    <w:p w14:paraId="6F18CB41" w14:textId="52B03E6C" w:rsidR="00606192" w:rsidRDefault="00CA528A" w:rsidP="00BC7AD7">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 xml:space="preserve">‘A study of derivatives market in India and its current position in global financial markets’, </w:t>
      </w:r>
      <w:r w:rsidR="000C209F">
        <w:rPr>
          <w:rFonts w:asciiTheme="majorHAnsi" w:hAnsiTheme="majorHAnsi"/>
          <w:sz w:val="22"/>
          <w:szCs w:val="22"/>
        </w:rPr>
        <w:t>Shalini H.S. and Ravendra P.V., IOSR Journal of Economics and Finance</w:t>
      </w:r>
    </w:p>
    <w:p w14:paraId="4E57A913" w14:textId="3F342574" w:rsidR="000C209F" w:rsidRDefault="000C209F" w:rsidP="00BC7AD7">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 xml:space="preserve">‘Indian derivatives market’, Asani Sarkar, </w:t>
      </w:r>
      <w:r w:rsidR="00A03F79">
        <w:rPr>
          <w:rFonts w:asciiTheme="majorHAnsi" w:hAnsiTheme="majorHAnsi"/>
          <w:sz w:val="22"/>
          <w:szCs w:val="22"/>
        </w:rPr>
        <w:t>The Oxford Companion to Economics in India</w:t>
      </w:r>
    </w:p>
    <w:p w14:paraId="46EE4E06" w14:textId="62625F17" w:rsidR="00A03F79" w:rsidRDefault="00A03F79" w:rsidP="00BC7AD7">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 xml:space="preserve">‘Toward vibrant debt markets’, </w:t>
      </w:r>
      <w:r w:rsidR="00746B2F">
        <w:rPr>
          <w:rFonts w:asciiTheme="majorHAnsi" w:hAnsiTheme="majorHAnsi"/>
          <w:sz w:val="22"/>
          <w:szCs w:val="22"/>
        </w:rPr>
        <w:t>FIIMDA presentation</w:t>
      </w:r>
    </w:p>
    <w:p w14:paraId="67C03597" w14:textId="65A5BC59" w:rsidR="00B36558" w:rsidRPr="00D37303" w:rsidRDefault="00B36558" w:rsidP="00E0577D">
      <w:pPr>
        <w:pStyle w:val="ListParagraph"/>
        <w:numPr>
          <w:ilvl w:val="0"/>
          <w:numId w:val="11"/>
        </w:numPr>
        <w:spacing w:after="200" w:line="276" w:lineRule="auto"/>
        <w:rPr>
          <w:rFonts w:asciiTheme="majorHAnsi" w:hAnsiTheme="majorHAnsi"/>
          <w:sz w:val="22"/>
          <w:szCs w:val="22"/>
        </w:rPr>
      </w:pPr>
      <w:r>
        <w:rPr>
          <w:rFonts w:asciiTheme="majorHAnsi" w:hAnsiTheme="majorHAnsi"/>
          <w:sz w:val="22"/>
          <w:szCs w:val="22"/>
        </w:rPr>
        <w:t>‘Simply put: taking a composite view of foreign investment in India’, Shaji Vikraman, Indian Express</w:t>
      </w:r>
    </w:p>
    <w:p w14:paraId="4C01200D" w14:textId="77777777" w:rsidR="007815C6" w:rsidRPr="00342849" w:rsidRDefault="007815C6" w:rsidP="00BC7AD7">
      <w:pPr>
        <w:spacing w:after="200" w:line="276" w:lineRule="auto"/>
        <w:rPr>
          <w:rFonts w:asciiTheme="majorHAnsi" w:hAnsiTheme="majorHAnsi"/>
          <w:sz w:val="22"/>
          <w:szCs w:val="22"/>
        </w:rPr>
      </w:pPr>
    </w:p>
    <w:sectPr w:rsidR="007815C6" w:rsidRPr="00342849" w:rsidSect="00AF4D4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9738D" w14:textId="77777777" w:rsidR="005647F6" w:rsidRDefault="005647F6" w:rsidP="008479F0">
      <w:r>
        <w:separator/>
      </w:r>
    </w:p>
  </w:endnote>
  <w:endnote w:type="continuationSeparator" w:id="0">
    <w:p w14:paraId="5B27E355" w14:textId="77777777" w:rsidR="005647F6" w:rsidRDefault="005647F6" w:rsidP="00847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chin">
    <w:altName w:val="Trebuchet MS"/>
    <w:charset w:val="00"/>
    <w:family w:val="auto"/>
    <w:pitch w:val="variable"/>
    <w:sig w:usb0="00000001" w:usb1="4000004A"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3815" w14:textId="77777777" w:rsidR="008479F0" w:rsidRDefault="008479F0" w:rsidP="008479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D10B1" w14:textId="77777777" w:rsidR="008479F0" w:rsidRDefault="008479F0" w:rsidP="008479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D81CC" w14:textId="77777777" w:rsidR="008479F0" w:rsidRDefault="008479F0" w:rsidP="008479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042A">
      <w:rPr>
        <w:rStyle w:val="PageNumber"/>
        <w:noProof/>
      </w:rPr>
      <w:t>1</w:t>
    </w:r>
    <w:r>
      <w:rPr>
        <w:rStyle w:val="PageNumber"/>
      </w:rPr>
      <w:fldChar w:fldCharType="end"/>
    </w:r>
  </w:p>
  <w:p w14:paraId="7C6EC58C" w14:textId="77777777" w:rsidR="008479F0" w:rsidRDefault="008479F0" w:rsidP="008479F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7EF59" w14:textId="77777777" w:rsidR="005647F6" w:rsidRDefault="005647F6" w:rsidP="008479F0">
      <w:r>
        <w:separator/>
      </w:r>
    </w:p>
  </w:footnote>
  <w:footnote w:type="continuationSeparator" w:id="0">
    <w:p w14:paraId="1DD465B4" w14:textId="77777777" w:rsidR="005647F6" w:rsidRDefault="005647F6" w:rsidP="00847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A60C0"/>
    <w:multiLevelType w:val="hybridMultilevel"/>
    <w:tmpl w:val="4BD2131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625322"/>
    <w:multiLevelType w:val="hybridMultilevel"/>
    <w:tmpl w:val="BC6C0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F07FA1"/>
    <w:multiLevelType w:val="hybridMultilevel"/>
    <w:tmpl w:val="2BEC65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C905D07"/>
    <w:multiLevelType w:val="hybridMultilevel"/>
    <w:tmpl w:val="6CA221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EB58F5"/>
    <w:multiLevelType w:val="hybridMultilevel"/>
    <w:tmpl w:val="C98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C730C"/>
    <w:multiLevelType w:val="hybridMultilevel"/>
    <w:tmpl w:val="E33CF5C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0C2628"/>
    <w:multiLevelType w:val="hybridMultilevel"/>
    <w:tmpl w:val="18F4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882C06"/>
    <w:multiLevelType w:val="hybridMultilevel"/>
    <w:tmpl w:val="3EB0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435CA1"/>
    <w:multiLevelType w:val="hybridMultilevel"/>
    <w:tmpl w:val="9E107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FAE6F00"/>
    <w:multiLevelType w:val="hybridMultilevel"/>
    <w:tmpl w:val="6550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075B1A"/>
    <w:multiLevelType w:val="hybridMultilevel"/>
    <w:tmpl w:val="583A1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8"/>
  </w:num>
  <w:num w:numId="4">
    <w:abstractNumId w:val="10"/>
  </w:num>
  <w:num w:numId="5">
    <w:abstractNumId w:val="2"/>
  </w:num>
  <w:num w:numId="6">
    <w:abstractNumId w:val="5"/>
  </w:num>
  <w:num w:numId="7">
    <w:abstractNumId w:val="9"/>
  </w:num>
  <w:num w:numId="8">
    <w:abstractNumId w:val="7"/>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0A"/>
    <w:rsid w:val="000071EB"/>
    <w:rsid w:val="00014770"/>
    <w:rsid w:val="00014BA8"/>
    <w:rsid w:val="000232AF"/>
    <w:rsid w:val="00025FA7"/>
    <w:rsid w:val="00041C29"/>
    <w:rsid w:val="00052667"/>
    <w:rsid w:val="00052940"/>
    <w:rsid w:val="000532E6"/>
    <w:rsid w:val="0006011B"/>
    <w:rsid w:val="00073082"/>
    <w:rsid w:val="00074CB5"/>
    <w:rsid w:val="000762CD"/>
    <w:rsid w:val="00082594"/>
    <w:rsid w:val="00090248"/>
    <w:rsid w:val="000979E9"/>
    <w:rsid w:val="00097D8E"/>
    <w:rsid w:val="000A5205"/>
    <w:rsid w:val="000A5701"/>
    <w:rsid w:val="000B4AAA"/>
    <w:rsid w:val="000C0DFA"/>
    <w:rsid w:val="000C209F"/>
    <w:rsid w:val="000C54CD"/>
    <w:rsid w:val="000C57A5"/>
    <w:rsid w:val="000C72B6"/>
    <w:rsid w:val="000E1E67"/>
    <w:rsid w:val="000F0FB4"/>
    <w:rsid w:val="000F27C1"/>
    <w:rsid w:val="000F5377"/>
    <w:rsid w:val="000F6255"/>
    <w:rsid w:val="00100976"/>
    <w:rsid w:val="00112D2C"/>
    <w:rsid w:val="001202BC"/>
    <w:rsid w:val="00122A1E"/>
    <w:rsid w:val="00124895"/>
    <w:rsid w:val="0013199A"/>
    <w:rsid w:val="001323DB"/>
    <w:rsid w:val="00132A7E"/>
    <w:rsid w:val="00132CAC"/>
    <w:rsid w:val="00132E69"/>
    <w:rsid w:val="00134EAC"/>
    <w:rsid w:val="00153FDB"/>
    <w:rsid w:val="001548D6"/>
    <w:rsid w:val="00160D2D"/>
    <w:rsid w:val="00160E28"/>
    <w:rsid w:val="001671F0"/>
    <w:rsid w:val="00171800"/>
    <w:rsid w:val="001749EF"/>
    <w:rsid w:val="00183C32"/>
    <w:rsid w:val="00186E9C"/>
    <w:rsid w:val="001921DE"/>
    <w:rsid w:val="001976D8"/>
    <w:rsid w:val="001A2F89"/>
    <w:rsid w:val="001B2650"/>
    <w:rsid w:val="001E1803"/>
    <w:rsid w:val="001E32CE"/>
    <w:rsid w:val="001E577D"/>
    <w:rsid w:val="001F4F4D"/>
    <w:rsid w:val="0021217C"/>
    <w:rsid w:val="00217A86"/>
    <w:rsid w:val="00220A4A"/>
    <w:rsid w:val="00231C00"/>
    <w:rsid w:val="00232DBC"/>
    <w:rsid w:val="00234E57"/>
    <w:rsid w:val="00242D87"/>
    <w:rsid w:val="00243E22"/>
    <w:rsid w:val="00244678"/>
    <w:rsid w:val="002615EE"/>
    <w:rsid w:val="00270760"/>
    <w:rsid w:val="00280693"/>
    <w:rsid w:val="0029611B"/>
    <w:rsid w:val="002A3B76"/>
    <w:rsid w:val="002A4F3C"/>
    <w:rsid w:val="002A4F6C"/>
    <w:rsid w:val="002C59E1"/>
    <w:rsid w:val="002D764A"/>
    <w:rsid w:val="002E5F78"/>
    <w:rsid w:val="002F2874"/>
    <w:rsid w:val="003059FE"/>
    <w:rsid w:val="0031663E"/>
    <w:rsid w:val="00321923"/>
    <w:rsid w:val="003234BE"/>
    <w:rsid w:val="00326814"/>
    <w:rsid w:val="00327A07"/>
    <w:rsid w:val="00342849"/>
    <w:rsid w:val="00345FD5"/>
    <w:rsid w:val="00345FDA"/>
    <w:rsid w:val="00353C42"/>
    <w:rsid w:val="00364531"/>
    <w:rsid w:val="003728D5"/>
    <w:rsid w:val="0038266C"/>
    <w:rsid w:val="00383256"/>
    <w:rsid w:val="00384995"/>
    <w:rsid w:val="003918FC"/>
    <w:rsid w:val="0039278C"/>
    <w:rsid w:val="00393EEF"/>
    <w:rsid w:val="00396E0E"/>
    <w:rsid w:val="00397FDE"/>
    <w:rsid w:val="003A3C15"/>
    <w:rsid w:val="003A3FFC"/>
    <w:rsid w:val="003D317A"/>
    <w:rsid w:val="003D56D5"/>
    <w:rsid w:val="003D58A3"/>
    <w:rsid w:val="003E55A6"/>
    <w:rsid w:val="003F4469"/>
    <w:rsid w:val="0040543B"/>
    <w:rsid w:val="00407F94"/>
    <w:rsid w:val="00410270"/>
    <w:rsid w:val="00413F09"/>
    <w:rsid w:val="00427AF2"/>
    <w:rsid w:val="00432741"/>
    <w:rsid w:val="0043408B"/>
    <w:rsid w:val="00436E53"/>
    <w:rsid w:val="004443B1"/>
    <w:rsid w:val="0044512A"/>
    <w:rsid w:val="00451360"/>
    <w:rsid w:val="00454578"/>
    <w:rsid w:val="00475B76"/>
    <w:rsid w:val="00475E62"/>
    <w:rsid w:val="00477CD4"/>
    <w:rsid w:val="004830B3"/>
    <w:rsid w:val="00492375"/>
    <w:rsid w:val="004971D4"/>
    <w:rsid w:val="004A2B9D"/>
    <w:rsid w:val="004A4BCD"/>
    <w:rsid w:val="004A5AA7"/>
    <w:rsid w:val="004A6F13"/>
    <w:rsid w:val="004A7F27"/>
    <w:rsid w:val="004B7FE3"/>
    <w:rsid w:val="004E251F"/>
    <w:rsid w:val="004E2DB6"/>
    <w:rsid w:val="004E2E5D"/>
    <w:rsid w:val="00506A8A"/>
    <w:rsid w:val="005200A5"/>
    <w:rsid w:val="00533C05"/>
    <w:rsid w:val="00535BC3"/>
    <w:rsid w:val="005360B6"/>
    <w:rsid w:val="00542CAB"/>
    <w:rsid w:val="00543D63"/>
    <w:rsid w:val="005542CB"/>
    <w:rsid w:val="0055499F"/>
    <w:rsid w:val="005647F6"/>
    <w:rsid w:val="00570CBD"/>
    <w:rsid w:val="00575EDC"/>
    <w:rsid w:val="00576D96"/>
    <w:rsid w:val="0058696A"/>
    <w:rsid w:val="005A292B"/>
    <w:rsid w:val="005A438E"/>
    <w:rsid w:val="005B7878"/>
    <w:rsid w:val="005C1481"/>
    <w:rsid w:val="005D3211"/>
    <w:rsid w:val="005E14D8"/>
    <w:rsid w:val="005E24EB"/>
    <w:rsid w:val="005F10FD"/>
    <w:rsid w:val="005F2D6D"/>
    <w:rsid w:val="005F741C"/>
    <w:rsid w:val="00606192"/>
    <w:rsid w:val="0060695A"/>
    <w:rsid w:val="006140E7"/>
    <w:rsid w:val="00615731"/>
    <w:rsid w:val="00617650"/>
    <w:rsid w:val="00624FBF"/>
    <w:rsid w:val="0062605A"/>
    <w:rsid w:val="00627C8E"/>
    <w:rsid w:val="00653602"/>
    <w:rsid w:val="006621FF"/>
    <w:rsid w:val="00663A18"/>
    <w:rsid w:val="00675A78"/>
    <w:rsid w:val="00676681"/>
    <w:rsid w:val="00676C48"/>
    <w:rsid w:val="00680660"/>
    <w:rsid w:val="006831EF"/>
    <w:rsid w:val="00687E4F"/>
    <w:rsid w:val="006924B4"/>
    <w:rsid w:val="006944E0"/>
    <w:rsid w:val="00697155"/>
    <w:rsid w:val="00697913"/>
    <w:rsid w:val="006A218B"/>
    <w:rsid w:val="006C0627"/>
    <w:rsid w:val="006F31E3"/>
    <w:rsid w:val="00700C9D"/>
    <w:rsid w:val="0071169E"/>
    <w:rsid w:val="0071326E"/>
    <w:rsid w:val="00716216"/>
    <w:rsid w:val="007322F3"/>
    <w:rsid w:val="00734434"/>
    <w:rsid w:val="00734803"/>
    <w:rsid w:val="00740A6A"/>
    <w:rsid w:val="00740AE7"/>
    <w:rsid w:val="00746B2F"/>
    <w:rsid w:val="00747D32"/>
    <w:rsid w:val="00747E5C"/>
    <w:rsid w:val="00762918"/>
    <w:rsid w:val="007721B3"/>
    <w:rsid w:val="0077600A"/>
    <w:rsid w:val="00780A64"/>
    <w:rsid w:val="007815C6"/>
    <w:rsid w:val="00782F26"/>
    <w:rsid w:val="00783D44"/>
    <w:rsid w:val="00784AD2"/>
    <w:rsid w:val="00787224"/>
    <w:rsid w:val="007948ED"/>
    <w:rsid w:val="00796F0C"/>
    <w:rsid w:val="007A0E0A"/>
    <w:rsid w:val="007B7C5F"/>
    <w:rsid w:val="007D4C05"/>
    <w:rsid w:val="007E3E1D"/>
    <w:rsid w:val="007E5B04"/>
    <w:rsid w:val="007F239F"/>
    <w:rsid w:val="007F39EA"/>
    <w:rsid w:val="007F7A07"/>
    <w:rsid w:val="008000E9"/>
    <w:rsid w:val="00804233"/>
    <w:rsid w:val="00806F5F"/>
    <w:rsid w:val="00812D55"/>
    <w:rsid w:val="00815BC3"/>
    <w:rsid w:val="008277EE"/>
    <w:rsid w:val="008479F0"/>
    <w:rsid w:val="008506FF"/>
    <w:rsid w:val="008566C7"/>
    <w:rsid w:val="008610E3"/>
    <w:rsid w:val="00863409"/>
    <w:rsid w:val="00884CBA"/>
    <w:rsid w:val="0089336D"/>
    <w:rsid w:val="00893D0C"/>
    <w:rsid w:val="008977BB"/>
    <w:rsid w:val="008A7597"/>
    <w:rsid w:val="008C0BC4"/>
    <w:rsid w:val="008C7797"/>
    <w:rsid w:val="008E0385"/>
    <w:rsid w:val="008F42A9"/>
    <w:rsid w:val="00910A9D"/>
    <w:rsid w:val="0091233D"/>
    <w:rsid w:val="009155C5"/>
    <w:rsid w:val="00921AFF"/>
    <w:rsid w:val="00924938"/>
    <w:rsid w:val="00925931"/>
    <w:rsid w:val="00926563"/>
    <w:rsid w:val="0093010A"/>
    <w:rsid w:val="00936D9A"/>
    <w:rsid w:val="009425B3"/>
    <w:rsid w:val="00951ED5"/>
    <w:rsid w:val="009524DB"/>
    <w:rsid w:val="00981745"/>
    <w:rsid w:val="009A2FC9"/>
    <w:rsid w:val="009A4F40"/>
    <w:rsid w:val="009B3C2A"/>
    <w:rsid w:val="009C14DB"/>
    <w:rsid w:val="009C6693"/>
    <w:rsid w:val="009C7B25"/>
    <w:rsid w:val="009D33F5"/>
    <w:rsid w:val="009D3AC0"/>
    <w:rsid w:val="009D76EE"/>
    <w:rsid w:val="009E2B78"/>
    <w:rsid w:val="009E632C"/>
    <w:rsid w:val="009F18DC"/>
    <w:rsid w:val="009F7B80"/>
    <w:rsid w:val="00A03F79"/>
    <w:rsid w:val="00A044A1"/>
    <w:rsid w:val="00A15250"/>
    <w:rsid w:val="00A15915"/>
    <w:rsid w:val="00A166A7"/>
    <w:rsid w:val="00A20E09"/>
    <w:rsid w:val="00A32B15"/>
    <w:rsid w:val="00A41F30"/>
    <w:rsid w:val="00A42EDD"/>
    <w:rsid w:val="00A4457D"/>
    <w:rsid w:val="00A5034A"/>
    <w:rsid w:val="00A54A54"/>
    <w:rsid w:val="00A55BE1"/>
    <w:rsid w:val="00A61531"/>
    <w:rsid w:val="00A84E64"/>
    <w:rsid w:val="00A9230F"/>
    <w:rsid w:val="00A9421B"/>
    <w:rsid w:val="00A97193"/>
    <w:rsid w:val="00AA582B"/>
    <w:rsid w:val="00AA5A17"/>
    <w:rsid w:val="00AB0DEB"/>
    <w:rsid w:val="00AC22AE"/>
    <w:rsid w:val="00AC4EDC"/>
    <w:rsid w:val="00AC7E5C"/>
    <w:rsid w:val="00AD35C3"/>
    <w:rsid w:val="00AD46FD"/>
    <w:rsid w:val="00AD51CB"/>
    <w:rsid w:val="00AD6CB1"/>
    <w:rsid w:val="00AE2771"/>
    <w:rsid w:val="00AE4759"/>
    <w:rsid w:val="00AF1235"/>
    <w:rsid w:val="00AF242C"/>
    <w:rsid w:val="00AF370A"/>
    <w:rsid w:val="00AF47B5"/>
    <w:rsid w:val="00AF4D4F"/>
    <w:rsid w:val="00B02B7E"/>
    <w:rsid w:val="00B05515"/>
    <w:rsid w:val="00B07391"/>
    <w:rsid w:val="00B213B8"/>
    <w:rsid w:val="00B36558"/>
    <w:rsid w:val="00B64C5D"/>
    <w:rsid w:val="00B719F2"/>
    <w:rsid w:val="00B835F2"/>
    <w:rsid w:val="00B84DD3"/>
    <w:rsid w:val="00B92D1F"/>
    <w:rsid w:val="00B933A8"/>
    <w:rsid w:val="00B96AA2"/>
    <w:rsid w:val="00BC7AD7"/>
    <w:rsid w:val="00C07626"/>
    <w:rsid w:val="00C20BB0"/>
    <w:rsid w:val="00C42AF4"/>
    <w:rsid w:val="00C4609A"/>
    <w:rsid w:val="00C46ADA"/>
    <w:rsid w:val="00C5042A"/>
    <w:rsid w:val="00C5224F"/>
    <w:rsid w:val="00C546F2"/>
    <w:rsid w:val="00C60A11"/>
    <w:rsid w:val="00C62AC8"/>
    <w:rsid w:val="00C6386F"/>
    <w:rsid w:val="00C72475"/>
    <w:rsid w:val="00C86064"/>
    <w:rsid w:val="00C91BDD"/>
    <w:rsid w:val="00CA0A14"/>
    <w:rsid w:val="00CA2BB7"/>
    <w:rsid w:val="00CA38E5"/>
    <w:rsid w:val="00CA528A"/>
    <w:rsid w:val="00CA5B60"/>
    <w:rsid w:val="00CB2784"/>
    <w:rsid w:val="00CB4130"/>
    <w:rsid w:val="00CB48FB"/>
    <w:rsid w:val="00CC1CA6"/>
    <w:rsid w:val="00CC1EF9"/>
    <w:rsid w:val="00CC3B88"/>
    <w:rsid w:val="00CD3AD5"/>
    <w:rsid w:val="00CD44A1"/>
    <w:rsid w:val="00CD56CC"/>
    <w:rsid w:val="00CD6FF5"/>
    <w:rsid w:val="00CD770A"/>
    <w:rsid w:val="00CD7CE6"/>
    <w:rsid w:val="00CF00D6"/>
    <w:rsid w:val="00CF54BB"/>
    <w:rsid w:val="00CF5FB4"/>
    <w:rsid w:val="00D06BB2"/>
    <w:rsid w:val="00D11533"/>
    <w:rsid w:val="00D20CDC"/>
    <w:rsid w:val="00D25F82"/>
    <w:rsid w:val="00D26935"/>
    <w:rsid w:val="00D32D83"/>
    <w:rsid w:val="00D37303"/>
    <w:rsid w:val="00D37486"/>
    <w:rsid w:val="00D528D0"/>
    <w:rsid w:val="00D57BB0"/>
    <w:rsid w:val="00D62DF8"/>
    <w:rsid w:val="00D71E74"/>
    <w:rsid w:val="00D724BE"/>
    <w:rsid w:val="00D81BC3"/>
    <w:rsid w:val="00D91F7F"/>
    <w:rsid w:val="00D9379C"/>
    <w:rsid w:val="00DB09BE"/>
    <w:rsid w:val="00DB2741"/>
    <w:rsid w:val="00DB574E"/>
    <w:rsid w:val="00DB66E8"/>
    <w:rsid w:val="00DB7C1F"/>
    <w:rsid w:val="00DC19AE"/>
    <w:rsid w:val="00DC7C27"/>
    <w:rsid w:val="00DD13D6"/>
    <w:rsid w:val="00DF132C"/>
    <w:rsid w:val="00E04B3E"/>
    <w:rsid w:val="00E0577D"/>
    <w:rsid w:val="00E10EFC"/>
    <w:rsid w:val="00E129CE"/>
    <w:rsid w:val="00E14E04"/>
    <w:rsid w:val="00E154DC"/>
    <w:rsid w:val="00E21BFC"/>
    <w:rsid w:val="00E228BB"/>
    <w:rsid w:val="00E231FD"/>
    <w:rsid w:val="00E24157"/>
    <w:rsid w:val="00E32102"/>
    <w:rsid w:val="00E322CE"/>
    <w:rsid w:val="00E37F27"/>
    <w:rsid w:val="00E41238"/>
    <w:rsid w:val="00E46483"/>
    <w:rsid w:val="00E51D70"/>
    <w:rsid w:val="00E61142"/>
    <w:rsid w:val="00E61EBE"/>
    <w:rsid w:val="00E80995"/>
    <w:rsid w:val="00E82B7B"/>
    <w:rsid w:val="00E90676"/>
    <w:rsid w:val="00E906A3"/>
    <w:rsid w:val="00E926C2"/>
    <w:rsid w:val="00EA761C"/>
    <w:rsid w:val="00EB2FBC"/>
    <w:rsid w:val="00EB6877"/>
    <w:rsid w:val="00ED5CA9"/>
    <w:rsid w:val="00EE200C"/>
    <w:rsid w:val="00F03F4F"/>
    <w:rsid w:val="00F15B5C"/>
    <w:rsid w:val="00F15EF1"/>
    <w:rsid w:val="00F16A98"/>
    <w:rsid w:val="00F2281B"/>
    <w:rsid w:val="00F42E37"/>
    <w:rsid w:val="00F43C19"/>
    <w:rsid w:val="00F81F6E"/>
    <w:rsid w:val="00F82060"/>
    <w:rsid w:val="00F8736A"/>
    <w:rsid w:val="00FA3FEB"/>
    <w:rsid w:val="00FA6E31"/>
    <w:rsid w:val="00FA7C98"/>
    <w:rsid w:val="00FD05A7"/>
    <w:rsid w:val="00FD234C"/>
    <w:rsid w:val="00FD28E1"/>
    <w:rsid w:val="00FE1307"/>
    <w:rsid w:val="00FE3DD0"/>
    <w:rsid w:val="00FE5557"/>
    <w:rsid w:val="00FF7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CA8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chin" w:eastAsiaTheme="minorEastAsia" w:hAnsi="Cochi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28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40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AD5"/>
    <w:rPr>
      <w:rFonts w:ascii="Lucida Grande" w:hAnsi="Lucida Grande" w:cs="Lucida Grande"/>
      <w:sz w:val="18"/>
      <w:szCs w:val="18"/>
    </w:rPr>
  </w:style>
  <w:style w:type="paragraph" w:styleId="Caption">
    <w:name w:val="caption"/>
    <w:basedOn w:val="Normal"/>
    <w:next w:val="Normal"/>
    <w:uiPriority w:val="35"/>
    <w:unhideWhenUsed/>
    <w:qFormat/>
    <w:rsid w:val="003D317A"/>
    <w:pPr>
      <w:spacing w:after="200"/>
    </w:pPr>
    <w:rPr>
      <w:b/>
      <w:bCs/>
      <w:color w:val="4F81BD" w:themeColor="accent1"/>
      <w:sz w:val="18"/>
      <w:szCs w:val="18"/>
    </w:rPr>
  </w:style>
  <w:style w:type="paragraph" w:styleId="ListParagraph">
    <w:name w:val="List Paragraph"/>
    <w:basedOn w:val="Normal"/>
    <w:uiPriority w:val="34"/>
    <w:qFormat/>
    <w:rsid w:val="00F8736A"/>
    <w:pPr>
      <w:ind w:left="720"/>
      <w:contextualSpacing/>
    </w:pPr>
  </w:style>
  <w:style w:type="character" w:customStyle="1" w:styleId="Heading2Char">
    <w:name w:val="Heading 2 Char"/>
    <w:basedOn w:val="DefaultParagraphFont"/>
    <w:link w:val="Heading2"/>
    <w:uiPriority w:val="9"/>
    <w:rsid w:val="003728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40E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40A6A"/>
    <w:rPr>
      <w:color w:val="0000FF" w:themeColor="hyperlink"/>
      <w:u w:val="single"/>
    </w:rPr>
  </w:style>
  <w:style w:type="paragraph" w:styleId="Footer">
    <w:name w:val="footer"/>
    <w:basedOn w:val="Normal"/>
    <w:link w:val="FooterChar"/>
    <w:uiPriority w:val="99"/>
    <w:unhideWhenUsed/>
    <w:rsid w:val="008479F0"/>
    <w:pPr>
      <w:tabs>
        <w:tab w:val="center" w:pos="4320"/>
        <w:tab w:val="right" w:pos="8640"/>
      </w:tabs>
    </w:pPr>
  </w:style>
  <w:style w:type="character" w:customStyle="1" w:styleId="FooterChar">
    <w:name w:val="Footer Char"/>
    <w:basedOn w:val="DefaultParagraphFont"/>
    <w:link w:val="Footer"/>
    <w:uiPriority w:val="99"/>
    <w:rsid w:val="008479F0"/>
  </w:style>
  <w:style w:type="character" w:styleId="PageNumber">
    <w:name w:val="page number"/>
    <w:basedOn w:val="DefaultParagraphFont"/>
    <w:uiPriority w:val="99"/>
    <w:semiHidden/>
    <w:unhideWhenUsed/>
    <w:rsid w:val="008479F0"/>
  </w:style>
  <w:style w:type="paragraph" w:styleId="TOC1">
    <w:name w:val="toc 1"/>
    <w:basedOn w:val="Normal"/>
    <w:next w:val="Normal"/>
    <w:autoRedefine/>
    <w:uiPriority w:val="39"/>
    <w:unhideWhenUsed/>
    <w:rsid w:val="008479F0"/>
  </w:style>
  <w:style w:type="paragraph" w:styleId="TOC2">
    <w:name w:val="toc 2"/>
    <w:basedOn w:val="Normal"/>
    <w:next w:val="Normal"/>
    <w:autoRedefine/>
    <w:uiPriority w:val="39"/>
    <w:unhideWhenUsed/>
    <w:rsid w:val="008479F0"/>
    <w:pPr>
      <w:ind w:left="240"/>
    </w:pPr>
  </w:style>
  <w:style w:type="paragraph" w:styleId="TOC3">
    <w:name w:val="toc 3"/>
    <w:basedOn w:val="Normal"/>
    <w:next w:val="Normal"/>
    <w:autoRedefine/>
    <w:uiPriority w:val="39"/>
    <w:unhideWhenUsed/>
    <w:rsid w:val="008479F0"/>
    <w:pPr>
      <w:ind w:left="480"/>
    </w:pPr>
  </w:style>
  <w:style w:type="paragraph" w:styleId="TOC4">
    <w:name w:val="toc 4"/>
    <w:basedOn w:val="Normal"/>
    <w:next w:val="Normal"/>
    <w:autoRedefine/>
    <w:uiPriority w:val="39"/>
    <w:unhideWhenUsed/>
    <w:rsid w:val="008479F0"/>
    <w:pPr>
      <w:ind w:left="720"/>
    </w:pPr>
  </w:style>
  <w:style w:type="paragraph" w:styleId="TOC5">
    <w:name w:val="toc 5"/>
    <w:basedOn w:val="Normal"/>
    <w:next w:val="Normal"/>
    <w:autoRedefine/>
    <w:uiPriority w:val="39"/>
    <w:unhideWhenUsed/>
    <w:rsid w:val="008479F0"/>
    <w:pPr>
      <w:ind w:left="960"/>
    </w:pPr>
  </w:style>
  <w:style w:type="paragraph" w:styleId="TOC6">
    <w:name w:val="toc 6"/>
    <w:basedOn w:val="Normal"/>
    <w:next w:val="Normal"/>
    <w:autoRedefine/>
    <w:uiPriority w:val="39"/>
    <w:unhideWhenUsed/>
    <w:rsid w:val="008479F0"/>
    <w:pPr>
      <w:ind w:left="1200"/>
    </w:pPr>
  </w:style>
  <w:style w:type="paragraph" w:styleId="TOC7">
    <w:name w:val="toc 7"/>
    <w:basedOn w:val="Normal"/>
    <w:next w:val="Normal"/>
    <w:autoRedefine/>
    <w:uiPriority w:val="39"/>
    <w:unhideWhenUsed/>
    <w:rsid w:val="008479F0"/>
    <w:pPr>
      <w:ind w:left="1440"/>
    </w:pPr>
  </w:style>
  <w:style w:type="paragraph" w:styleId="TOC8">
    <w:name w:val="toc 8"/>
    <w:basedOn w:val="Normal"/>
    <w:next w:val="Normal"/>
    <w:autoRedefine/>
    <w:uiPriority w:val="39"/>
    <w:unhideWhenUsed/>
    <w:rsid w:val="008479F0"/>
    <w:pPr>
      <w:ind w:left="1680"/>
    </w:pPr>
  </w:style>
  <w:style w:type="paragraph" w:styleId="TOC9">
    <w:name w:val="toc 9"/>
    <w:basedOn w:val="Normal"/>
    <w:next w:val="Normal"/>
    <w:autoRedefine/>
    <w:uiPriority w:val="39"/>
    <w:unhideWhenUsed/>
    <w:rsid w:val="008479F0"/>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chin" w:eastAsiaTheme="minorEastAsia" w:hAnsi="Cochi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728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40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AD5"/>
    <w:rPr>
      <w:rFonts w:ascii="Lucida Grande" w:hAnsi="Lucida Grande" w:cs="Lucida Grande"/>
      <w:sz w:val="18"/>
      <w:szCs w:val="18"/>
    </w:rPr>
  </w:style>
  <w:style w:type="paragraph" w:styleId="Caption">
    <w:name w:val="caption"/>
    <w:basedOn w:val="Normal"/>
    <w:next w:val="Normal"/>
    <w:uiPriority w:val="35"/>
    <w:unhideWhenUsed/>
    <w:qFormat/>
    <w:rsid w:val="003D317A"/>
    <w:pPr>
      <w:spacing w:after="200"/>
    </w:pPr>
    <w:rPr>
      <w:b/>
      <w:bCs/>
      <w:color w:val="4F81BD" w:themeColor="accent1"/>
      <w:sz w:val="18"/>
      <w:szCs w:val="18"/>
    </w:rPr>
  </w:style>
  <w:style w:type="paragraph" w:styleId="ListParagraph">
    <w:name w:val="List Paragraph"/>
    <w:basedOn w:val="Normal"/>
    <w:uiPriority w:val="34"/>
    <w:qFormat/>
    <w:rsid w:val="00F8736A"/>
    <w:pPr>
      <w:ind w:left="720"/>
      <w:contextualSpacing/>
    </w:pPr>
  </w:style>
  <w:style w:type="character" w:customStyle="1" w:styleId="Heading2Char">
    <w:name w:val="Heading 2 Char"/>
    <w:basedOn w:val="DefaultParagraphFont"/>
    <w:link w:val="Heading2"/>
    <w:uiPriority w:val="9"/>
    <w:rsid w:val="003728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40E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40A6A"/>
    <w:rPr>
      <w:color w:val="0000FF" w:themeColor="hyperlink"/>
      <w:u w:val="single"/>
    </w:rPr>
  </w:style>
  <w:style w:type="paragraph" w:styleId="Footer">
    <w:name w:val="footer"/>
    <w:basedOn w:val="Normal"/>
    <w:link w:val="FooterChar"/>
    <w:uiPriority w:val="99"/>
    <w:unhideWhenUsed/>
    <w:rsid w:val="008479F0"/>
    <w:pPr>
      <w:tabs>
        <w:tab w:val="center" w:pos="4320"/>
        <w:tab w:val="right" w:pos="8640"/>
      </w:tabs>
    </w:pPr>
  </w:style>
  <w:style w:type="character" w:customStyle="1" w:styleId="FooterChar">
    <w:name w:val="Footer Char"/>
    <w:basedOn w:val="DefaultParagraphFont"/>
    <w:link w:val="Footer"/>
    <w:uiPriority w:val="99"/>
    <w:rsid w:val="008479F0"/>
  </w:style>
  <w:style w:type="character" w:styleId="PageNumber">
    <w:name w:val="page number"/>
    <w:basedOn w:val="DefaultParagraphFont"/>
    <w:uiPriority w:val="99"/>
    <w:semiHidden/>
    <w:unhideWhenUsed/>
    <w:rsid w:val="008479F0"/>
  </w:style>
  <w:style w:type="paragraph" w:styleId="TOC1">
    <w:name w:val="toc 1"/>
    <w:basedOn w:val="Normal"/>
    <w:next w:val="Normal"/>
    <w:autoRedefine/>
    <w:uiPriority w:val="39"/>
    <w:unhideWhenUsed/>
    <w:rsid w:val="008479F0"/>
  </w:style>
  <w:style w:type="paragraph" w:styleId="TOC2">
    <w:name w:val="toc 2"/>
    <w:basedOn w:val="Normal"/>
    <w:next w:val="Normal"/>
    <w:autoRedefine/>
    <w:uiPriority w:val="39"/>
    <w:unhideWhenUsed/>
    <w:rsid w:val="008479F0"/>
    <w:pPr>
      <w:ind w:left="240"/>
    </w:pPr>
  </w:style>
  <w:style w:type="paragraph" w:styleId="TOC3">
    <w:name w:val="toc 3"/>
    <w:basedOn w:val="Normal"/>
    <w:next w:val="Normal"/>
    <w:autoRedefine/>
    <w:uiPriority w:val="39"/>
    <w:unhideWhenUsed/>
    <w:rsid w:val="008479F0"/>
    <w:pPr>
      <w:ind w:left="480"/>
    </w:pPr>
  </w:style>
  <w:style w:type="paragraph" w:styleId="TOC4">
    <w:name w:val="toc 4"/>
    <w:basedOn w:val="Normal"/>
    <w:next w:val="Normal"/>
    <w:autoRedefine/>
    <w:uiPriority w:val="39"/>
    <w:unhideWhenUsed/>
    <w:rsid w:val="008479F0"/>
    <w:pPr>
      <w:ind w:left="720"/>
    </w:pPr>
  </w:style>
  <w:style w:type="paragraph" w:styleId="TOC5">
    <w:name w:val="toc 5"/>
    <w:basedOn w:val="Normal"/>
    <w:next w:val="Normal"/>
    <w:autoRedefine/>
    <w:uiPriority w:val="39"/>
    <w:unhideWhenUsed/>
    <w:rsid w:val="008479F0"/>
    <w:pPr>
      <w:ind w:left="960"/>
    </w:pPr>
  </w:style>
  <w:style w:type="paragraph" w:styleId="TOC6">
    <w:name w:val="toc 6"/>
    <w:basedOn w:val="Normal"/>
    <w:next w:val="Normal"/>
    <w:autoRedefine/>
    <w:uiPriority w:val="39"/>
    <w:unhideWhenUsed/>
    <w:rsid w:val="008479F0"/>
    <w:pPr>
      <w:ind w:left="1200"/>
    </w:pPr>
  </w:style>
  <w:style w:type="paragraph" w:styleId="TOC7">
    <w:name w:val="toc 7"/>
    <w:basedOn w:val="Normal"/>
    <w:next w:val="Normal"/>
    <w:autoRedefine/>
    <w:uiPriority w:val="39"/>
    <w:unhideWhenUsed/>
    <w:rsid w:val="008479F0"/>
    <w:pPr>
      <w:ind w:left="1440"/>
    </w:pPr>
  </w:style>
  <w:style w:type="paragraph" w:styleId="TOC8">
    <w:name w:val="toc 8"/>
    <w:basedOn w:val="Normal"/>
    <w:next w:val="Normal"/>
    <w:autoRedefine/>
    <w:uiPriority w:val="39"/>
    <w:unhideWhenUsed/>
    <w:rsid w:val="008479F0"/>
    <w:pPr>
      <w:ind w:left="1680"/>
    </w:pPr>
  </w:style>
  <w:style w:type="paragraph" w:styleId="TOC9">
    <w:name w:val="toc 9"/>
    <w:basedOn w:val="Normal"/>
    <w:next w:val="Normal"/>
    <w:autoRedefine/>
    <w:uiPriority w:val="39"/>
    <w:unhideWhenUsed/>
    <w:rsid w:val="008479F0"/>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58185">
      <w:bodyDiv w:val="1"/>
      <w:marLeft w:val="0"/>
      <w:marRight w:val="0"/>
      <w:marTop w:val="0"/>
      <w:marBottom w:val="0"/>
      <w:divBdr>
        <w:top w:val="none" w:sz="0" w:space="0" w:color="auto"/>
        <w:left w:val="none" w:sz="0" w:space="0" w:color="auto"/>
        <w:bottom w:val="none" w:sz="0" w:space="0" w:color="auto"/>
        <w:right w:val="none" w:sz="0" w:space="0" w:color="auto"/>
      </w:divBdr>
    </w:div>
    <w:div w:id="204222604">
      <w:bodyDiv w:val="1"/>
      <w:marLeft w:val="0"/>
      <w:marRight w:val="0"/>
      <w:marTop w:val="0"/>
      <w:marBottom w:val="0"/>
      <w:divBdr>
        <w:top w:val="none" w:sz="0" w:space="0" w:color="auto"/>
        <w:left w:val="none" w:sz="0" w:space="0" w:color="auto"/>
        <w:bottom w:val="none" w:sz="0" w:space="0" w:color="auto"/>
        <w:right w:val="none" w:sz="0" w:space="0" w:color="auto"/>
      </w:divBdr>
    </w:div>
    <w:div w:id="280305613">
      <w:bodyDiv w:val="1"/>
      <w:marLeft w:val="0"/>
      <w:marRight w:val="0"/>
      <w:marTop w:val="0"/>
      <w:marBottom w:val="0"/>
      <w:divBdr>
        <w:top w:val="none" w:sz="0" w:space="0" w:color="auto"/>
        <w:left w:val="none" w:sz="0" w:space="0" w:color="auto"/>
        <w:bottom w:val="none" w:sz="0" w:space="0" w:color="auto"/>
        <w:right w:val="none" w:sz="0" w:space="0" w:color="auto"/>
      </w:divBdr>
    </w:div>
    <w:div w:id="293872385">
      <w:bodyDiv w:val="1"/>
      <w:marLeft w:val="0"/>
      <w:marRight w:val="0"/>
      <w:marTop w:val="0"/>
      <w:marBottom w:val="0"/>
      <w:divBdr>
        <w:top w:val="none" w:sz="0" w:space="0" w:color="auto"/>
        <w:left w:val="none" w:sz="0" w:space="0" w:color="auto"/>
        <w:bottom w:val="none" w:sz="0" w:space="0" w:color="auto"/>
        <w:right w:val="none" w:sz="0" w:space="0" w:color="auto"/>
      </w:divBdr>
    </w:div>
    <w:div w:id="390233575">
      <w:bodyDiv w:val="1"/>
      <w:marLeft w:val="0"/>
      <w:marRight w:val="0"/>
      <w:marTop w:val="0"/>
      <w:marBottom w:val="0"/>
      <w:divBdr>
        <w:top w:val="none" w:sz="0" w:space="0" w:color="auto"/>
        <w:left w:val="none" w:sz="0" w:space="0" w:color="auto"/>
        <w:bottom w:val="none" w:sz="0" w:space="0" w:color="auto"/>
        <w:right w:val="none" w:sz="0" w:space="0" w:color="auto"/>
      </w:divBdr>
    </w:div>
    <w:div w:id="395470796">
      <w:bodyDiv w:val="1"/>
      <w:marLeft w:val="0"/>
      <w:marRight w:val="0"/>
      <w:marTop w:val="0"/>
      <w:marBottom w:val="0"/>
      <w:divBdr>
        <w:top w:val="none" w:sz="0" w:space="0" w:color="auto"/>
        <w:left w:val="none" w:sz="0" w:space="0" w:color="auto"/>
        <w:bottom w:val="none" w:sz="0" w:space="0" w:color="auto"/>
        <w:right w:val="none" w:sz="0" w:space="0" w:color="auto"/>
      </w:divBdr>
    </w:div>
    <w:div w:id="418602678">
      <w:bodyDiv w:val="1"/>
      <w:marLeft w:val="0"/>
      <w:marRight w:val="0"/>
      <w:marTop w:val="0"/>
      <w:marBottom w:val="0"/>
      <w:divBdr>
        <w:top w:val="none" w:sz="0" w:space="0" w:color="auto"/>
        <w:left w:val="none" w:sz="0" w:space="0" w:color="auto"/>
        <w:bottom w:val="none" w:sz="0" w:space="0" w:color="auto"/>
        <w:right w:val="none" w:sz="0" w:space="0" w:color="auto"/>
      </w:divBdr>
    </w:div>
    <w:div w:id="458376832">
      <w:bodyDiv w:val="1"/>
      <w:marLeft w:val="0"/>
      <w:marRight w:val="0"/>
      <w:marTop w:val="0"/>
      <w:marBottom w:val="0"/>
      <w:divBdr>
        <w:top w:val="none" w:sz="0" w:space="0" w:color="auto"/>
        <w:left w:val="none" w:sz="0" w:space="0" w:color="auto"/>
        <w:bottom w:val="none" w:sz="0" w:space="0" w:color="auto"/>
        <w:right w:val="none" w:sz="0" w:space="0" w:color="auto"/>
      </w:divBdr>
    </w:div>
    <w:div w:id="770200192">
      <w:bodyDiv w:val="1"/>
      <w:marLeft w:val="0"/>
      <w:marRight w:val="0"/>
      <w:marTop w:val="0"/>
      <w:marBottom w:val="0"/>
      <w:divBdr>
        <w:top w:val="none" w:sz="0" w:space="0" w:color="auto"/>
        <w:left w:val="none" w:sz="0" w:space="0" w:color="auto"/>
        <w:bottom w:val="none" w:sz="0" w:space="0" w:color="auto"/>
        <w:right w:val="none" w:sz="0" w:space="0" w:color="auto"/>
      </w:divBdr>
    </w:div>
    <w:div w:id="1018895497">
      <w:bodyDiv w:val="1"/>
      <w:marLeft w:val="0"/>
      <w:marRight w:val="0"/>
      <w:marTop w:val="0"/>
      <w:marBottom w:val="0"/>
      <w:divBdr>
        <w:top w:val="none" w:sz="0" w:space="0" w:color="auto"/>
        <w:left w:val="none" w:sz="0" w:space="0" w:color="auto"/>
        <w:bottom w:val="none" w:sz="0" w:space="0" w:color="auto"/>
        <w:right w:val="none" w:sz="0" w:space="0" w:color="auto"/>
      </w:divBdr>
    </w:div>
    <w:div w:id="1059287309">
      <w:bodyDiv w:val="1"/>
      <w:marLeft w:val="0"/>
      <w:marRight w:val="0"/>
      <w:marTop w:val="0"/>
      <w:marBottom w:val="0"/>
      <w:divBdr>
        <w:top w:val="none" w:sz="0" w:space="0" w:color="auto"/>
        <w:left w:val="none" w:sz="0" w:space="0" w:color="auto"/>
        <w:bottom w:val="none" w:sz="0" w:space="0" w:color="auto"/>
        <w:right w:val="none" w:sz="0" w:space="0" w:color="auto"/>
      </w:divBdr>
    </w:div>
    <w:div w:id="1434857565">
      <w:bodyDiv w:val="1"/>
      <w:marLeft w:val="0"/>
      <w:marRight w:val="0"/>
      <w:marTop w:val="0"/>
      <w:marBottom w:val="0"/>
      <w:divBdr>
        <w:top w:val="none" w:sz="0" w:space="0" w:color="auto"/>
        <w:left w:val="none" w:sz="0" w:space="0" w:color="auto"/>
        <w:bottom w:val="none" w:sz="0" w:space="0" w:color="auto"/>
        <w:right w:val="none" w:sz="0" w:space="0" w:color="auto"/>
      </w:divBdr>
    </w:div>
    <w:div w:id="1569917013">
      <w:bodyDiv w:val="1"/>
      <w:marLeft w:val="0"/>
      <w:marRight w:val="0"/>
      <w:marTop w:val="0"/>
      <w:marBottom w:val="0"/>
      <w:divBdr>
        <w:top w:val="none" w:sz="0" w:space="0" w:color="auto"/>
        <w:left w:val="none" w:sz="0" w:space="0" w:color="auto"/>
        <w:bottom w:val="none" w:sz="0" w:space="0" w:color="auto"/>
        <w:right w:val="none" w:sz="0" w:space="0" w:color="auto"/>
      </w:divBdr>
    </w:div>
    <w:div w:id="1603418427">
      <w:bodyDiv w:val="1"/>
      <w:marLeft w:val="0"/>
      <w:marRight w:val="0"/>
      <w:marTop w:val="0"/>
      <w:marBottom w:val="0"/>
      <w:divBdr>
        <w:top w:val="none" w:sz="0" w:space="0" w:color="auto"/>
        <w:left w:val="none" w:sz="0" w:space="0" w:color="auto"/>
        <w:bottom w:val="none" w:sz="0" w:space="0" w:color="auto"/>
        <w:right w:val="none" w:sz="0" w:space="0" w:color="auto"/>
      </w:divBdr>
    </w:div>
    <w:div w:id="1657566686">
      <w:bodyDiv w:val="1"/>
      <w:marLeft w:val="0"/>
      <w:marRight w:val="0"/>
      <w:marTop w:val="0"/>
      <w:marBottom w:val="0"/>
      <w:divBdr>
        <w:top w:val="none" w:sz="0" w:space="0" w:color="auto"/>
        <w:left w:val="none" w:sz="0" w:space="0" w:color="auto"/>
        <w:bottom w:val="none" w:sz="0" w:space="0" w:color="auto"/>
        <w:right w:val="none" w:sz="0" w:space="0" w:color="auto"/>
      </w:divBdr>
    </w:div>
    <w:div w:id="1760786634">
      <w:bodyDiv w:val="1"/>
      <w:marLeft w:val="0"/>
      <w:marRight w:val="0"/>
      <w:marTop w:val="0"/>
      <w:marBottom w:val="0"/>
      <w:divBdr>
        <w:top w:val="none" w:sz="0" w:space="0" w:color="auto"/>
        <w:left w:val="none" w:sz="0" w:space="0" w:color="auto"/>
        <w:bottom w:val="none" w:sz="0" w:space="0" w:color="auto"/>
        <w:right w:val="none" w:sz="0" w:space="0" w:color="auto"/>
      </w:divBdr>
    </w:div>
    <w:div w:id="1793476671">
      <w:bodyDiv w:val="1"/>
      <w:marLeft w:val="0"/>
      <w:marRight w:val="0"/>
      <w:marTop w:val="0"/>
      <w:marBottom w:val="0"/>
      <w:divBdr>
        <w:top w:val="none" w:sz="0" w:space="0" w:color="auto"/>
        <w:left w:val="none" w:sz="0" w:space="0" w:color="auto"/>
        <w:bottom w:val="none" w:sz="0" w:space="0" w:color="auto"/>
        <w:right w:val="none" w:sz="0" w:space="0" w:color="auto"/>
      </w:divBdr>
    </w:div>
    <w:div w:id="2105569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21.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DA0BDD-D539-994E-815B-F2E22DC8110C}"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F06E8AF9-4A06-D340-920F-6FCBAA19488F}">
      <dgm:prSet phldrT="[Text]"/>
      <dgm:spPr/>
      <dgm:t>
        <a:bodyPr/>
        <a:lstStyle/>
        <a:p>
          <a:r>
            <a:rPr lang="en-US" b="1"/>
            <a:t>Indian Debt Markets</a:t>
          </a:r>
        </a:p>
      </dgm:t>
    </dgm:pt>
    <dgm:pt modelId="{FA8447FA-524B-E340-B421-0AA1A94AD4DE}" type="parTrans" cxnId="{4A9A010F-1623-B846-BFC3-A5419F478F5C}">
      <dgm:prSet/>
      <dgm:spPr/>
      <dgm:t>
        <a:bodyPr/>
        <a:lstStyle/>
        <a:p>
          <a:endParaRPr lang="en-US"/>
        </a:p>
      </dgm:t>
    </dgm:pt>
    <dgm:pt modelId="{2D4B4B00-6EBC-B042-81C5-553035FBE356}" type="sibTrans" cxnId="{4A9A010F-1623-B846-BFC3-A5419F478F5C}">
      <dgm:prSet/>
      <dgm:spPr/>
      <dgm:t>
        <a:bodyPr/>
        <a:lstStyle/>
        <a:p>
          <a:endParaRPr lang="en-US"/>
        </a:p>
      </dgm:t>
    </dgm:pt>
    <dgm:pt modelId="{13FBE960-481C-B94F-8DDC-A73021CCF1EA}">
      <dgm:prSet phldrT="[Text]"/>
      <dgm:spPr/>
      <dgm:t>
        <a:bodyPr/>
        <a:lstStyle/>
        <a:p>
          <a:r>
            <a:rPr lang="en-US" b="1"/>
            <a:t>Sovereign Debt</a:t>
          </a:r>
        </a:p>
      </dgm:t>
    </dgm:pt>
    <dgm:pt modelId="{84796E37-8972-6148-A7C2-EAB8F64095BA}" type="parTrans" cxnId="{7D90DE1E-AC81-CB4E-A0F0-D22DE1F657FC}">
      <dgm:prSet/>
      <dgm:spPr/>
      <dgm:t>
        <a:bodyPr/>
        <a:lstStyle/>
        <a:p>
          <a:endParaRPr lang="en-US"/>
        </a:p>
      </dgm:t>
    </dgm:pt>
    <dgm:pt modelId="{121E7486-3552-6145-8E4C-309B00B4F110}" type="sibTrans" cxnId="{7D90DE1E-AC81-CB4E-A0F0-D22DE1F657FC}">
      <dgm:prSet/>
      <dgm:spPr/>
      <dgm:t>
        <a:bodyPr/>
        <a:lstStyle/>
        <a:p>
          <a:endParaRPr lang="en-US"/>
        </a:p>
      </dgm:t>
    </dgm:pt>
    <dgm:pt modelId="{C41E5ADF-CB81-0F4A-B6EC-D80302D05F1A}">
      <dgm:prSet phldrT="[Text]"/>
      <dgm:spPr/>
      <dgm:t>
        <a:bodyPr/>
        <a:lstStyle/>
        <a:p>
          <a:r>
            <a:rPr lang="en-US"/>
            <a:t>Central Government Debt</a:t>
          </a:r>
        </a:p>
      </dgm:t>
    </dgm:pt>
    <dgm:pt modelId="{2A02E064-A780-C642-A8B3-C7EC07213819}" type="parTrans" cxnId="{6E91F790-B6C4-5547-B490-A64663A01100}">
      <dgm:prSet/>
      <dgm:spPr/>
      <dgm:t>
        <a:bodyPr/>
        <a:lstStyle/>
        <a:p>
          <a:endParaRPr lang="en-US"/>
        </a:p>
      </dgm:t>
    </dgm:pt>
    <dgm:pt modelId="{58CA0577-1939-8649-ADDD-6E7BBE7B42B3}" type="sibTrans" cxnId="{6E91F790-B6C4-5547-B490-A64663A01100}">
      <dgm:prSet/>
      <dgm:spPr/>
      <dgm:t>
        <a:bodyPr/>
        <a:lstStyle/>
        <a:p>
          <a:endParaRPr lang="en-US"/>
        </a:p>
      </dgm:t>
    </dgm:pt>
    <dgm:pt modelId="{2FBAEFDA-A581-6E49-9FBF-1EA3534D28FD}">
      <dgm:prSet phldrT="[Text]"/>
      <dgm:spPr/>
      <dgm:t>
        <a:bodyPr/>
        <a:lstStyle/>
        <a:p>
          <a:r>
            <a:rPr lang="en-US"/>
            <a:t>State Government Debt</a:t>
          </a:r>
        </a:p>
      </dgm:t>
    </dgm:pt>
    <dgm:pt modelId="{45CF6475-2028-E64B-8610-8D8FFED6C91C}" type="parTrans" cxnId="{95556822-35E0-8D4E-AF7F-F3A74FF0ED0A}">
      <dgm:prSet/>
      <dgm:spPr/>
      <dgm:t>
        <a:bodyPr/>
        <a:lstStyle/>
        <a:p>
          <a:endParaRPr lang="en-US"/>
        </a:p>
      </dgm:t>
    </dgm:pt>
    <dgm:pt modelId="{BA332D02-30AF-2D4E-A16C-B68D60332496}" type="sibTrans" cxnId="{95556822-35E0-8D4E-AF7F-F3A74FF0ED0A}">
      <dgm:prSet/>
      <dgm:spPr/>
      <dgm:t>
        <a:bodyPr/>
        <a:lstStyle/>
        <a:p>
          <a:endParaRPr lang="en-US"/>
        </a:p>
      </dgm:t>
    </dgm:pt>
    <dgm:pt modelId="{24518155-72FA-1E4D-94CB-C0F9ABBD811E}">
      <dgm:prSet phldrT="[Text]"/>
      <dgm:spPr/>
      <dgm:t>
        <a:bodyPr/>
        <a:lstStyle/>
        <a:p>
          <a:r>
            <a:rPr lang="en-US" b="1"/>
            <a:t>Public Sector Debt</a:t>
          </a:r>
        </a:p>
      </dgm:t>
    </dgm:pt>
    <dgm:pt modelId="{5BA62EBB-B59E-814A-B4B4-EC7CE48564A7}" type="parTrans" cxnId="{5B6A0AC9-7DE4-DC4C-8DCA-C65B3D47F75C}">
      <dgm:prSet/>
      <dgm:spPr/>
      <dgm:t>
        <a:bodyPr/>
        <a:lstStyle/>
        <a:p>
          <a:endParaRPr lang="en-US"/>
        </a:p>
      </dgm:t>
    </dgm:pt>
    <dgm:pt modelId="{121A1D51-A100-9643-862E-C45334383E88}" type="sibTrans" cxnId="{5B6A0AC9-7DE4-DC4C-8DCA-C65B3D47F75C}">
      <dgm:prSet/>
      <dgm:spPr/>
      <dgm:t>
        <a:bodyPr/>
        <a:lstStyle/>
        <a:p>
          <a:endParaRPr lang="en-US"/>
        </a:p>
      </dgm:t>
    </dgm:pt>
    <dgm:pt modelId="{642B266C-3029-3C41-A08E-304F8D352537}">
      <dgm:prSet phldrT="[Text]"/>
      <dgm:spPr/>
      <dgm:t>
        <a:bodyPr/>
        <a:lstStyle/>
        <a:p>
          <a:r>
            <a:rPr lang="en-US"/>
            <a:t>Corporate Debt</a:t>
          </a:r>
        </a:p>
      </dgm:t>
    </dgm:pt>
    <dgm:pt modelId="{3AD0FFA5-D0F3-1B46-867F-3202FCDF0B3B}" type="parTrans" cxnId="{8CAD0423-039D-9F45-9ABA-A7BC7905420F}">
      <dgm:prSet/>
      <dgm:spPr/>
      <dgm:t>
        <a:bodyPr/>
        <a:lstStyle/>
        <a:p>
          <a:endParaRPr lang="en-US"/>
        </a:p>
      </dgm:t>
    </dgm:pt>
    <dgm:pt modelId="{E81DC0B5-0455-CE4A-8A32-3E806CD7C7D7}" type="sibTrans" cxnId="{8CAD0423-039D-9F45-9ABA-A7BC7905420F}">
      <dgm:prSet/>
      <dgm:spPr/>
      <dgm:t>
        <a:bodyPr/>
        <a:lstStyle/>
        <a:p>
          <a:endParaRPr lang="en-US"/>
        </a:p>
      </dgm:t>
    </dgm:pt>
    <dgm:pt modelId="{3DACB0AB-2CEC-684D-A184-0DD7082375F7}">
      <dgm:prSet phldrT="[Text]"/>
      <dgm:spPr/>
      <dgm:t>
        <a:bodyPr/>
        <a:lstStyle/>
        <a:p>
          <a:r>
            <a:rPr lang="en-US" b="1"/>
            <a:t>Private Sector Debt</a:t>
          </a:r>
        </a:p>
      </dgm:t>
    </dgm:pt>
    <dgm:pt modelId="{2FD86070-8003-404E-815A-42E1CF79DB58}" type="parTrans" cxnId="{37CBB1DC-28D7-144A-B3ED-7D52193E050F}">
      <dgm:prSet/>
      <dgm:spPr/>
      <dgm:t>
        <a:bodyPr/>
        <a:lstStyle/>
        <a:p>
          <a:endParaRPr lang="en-US"/>
        </a:p>
      </dgm:t>
    </dgm:pt>
    <dgm:pt modelId="{0590A87C-B941-004A-8BCD-6291EA2976B1}" type="sibTrans" cxnId="{37CBB1DC-28D7-144A-B3ED-7D52193E050F}">
      <dgm:prSet/>
      <dgm:spPr/>
      <dgm:t>
        <a:bodyPr/>
        <a:lstStyle/>
        <a:p>
          <a:endParaRPr lang="en-US"/>
        </a:p>
      </dgm:t>
    </dgm:pt>
    <dgm:pt modelId="{10D7CCF6-B68C-6944-80E7-7663838BDB23}">
      <dgm:prSet phldrT="[Text]"/>
      <dgm:spPr/>
      <dgm:t>
        <a:bodyPr/>
        <a:lstStyle/>
        <a:p>
          <a:r>
            <a:rPr lang="en-US"/>
            <a:t>Private Bank / FI Debt</a:t>
          </a:r>
        </a:p>
      </dgm:t>
    </dgm:pt>
    <dgm:pt modelId="{84E5AC73-94D9-7349-8B1B-1E1CD0CA7C8D}" type="parTrans" cxnId="{A83DF45C-5783-3341-B637-A41C973EF942}">
      <dgm:prSet/>
      <dgm:spPr/>
      <dgm:t>
        <a:bodyPr/>
        <a:lstStyle/>
        <a:p>
          <a:endParaRPr lang="en-US"/>
        </a:p>
      </dgm:t>
    </dgm:pt>
    <dgm:pt modelId="{60D30EAA-FB7B-9C49-B7D7-C4A8A62EE090}" type="sibTrans" cxnId="{A83DF45C-5783-3341-B637-A41C973EF942}">
      <dgm:prSet/>
      <dgm:spPr/>
      <dgm:t>
        <a:bodyPr/>
        <a:lstStyle/>
        <a:p>
          <a:endParaRPr lang="en-US"/>
        </a:p>
      </dgm:t>
    </dgm:pt>
    <dgm:pt modelId="{9C8F57F8-7DAC-FF4E-B436-9B211EDADEDB}">
      <dgm:prSet/>
      <dgm:spPr/>
      <dgm:t>
        <a:bodyPr/>
        <a:lstStyle/>
        <a:p>
          <a:r>
            <a:rPr lang="en-US"/>
            <a:t>Quasi-governmental Debt</a:t>
          </a:r>
        </a:p>
      </dgm:t>
    </dgm:pt>
    <dgm:pt modelId="{E2FA640E-95E6-0648-886D-06C189207B50}" type="parTrans" cxnId="{A3AFBB85-06EF-514F-B5A7-6DB6D5C425A4}">
      <dgm:prSet/>
      <dgm:spPr/>
      <dgm:t>
        <a:bodyPr/>
        <a:lstStyle/>
        <a:p>
          <a:endParaRPr lang="en-US"/>
        </a:p>
      </dgm:t>
    </dgm:pt>
    <dgm:pt modelId="{4775424D-DA98-F343-8872-4BEF380D8FF1}" type="sibTrans" cxnId="{A3AFBB85-06EF-514F-B5A7-6DB6D5C425A4}">
      <dgm:prSet/>
      <dgm:spPr/>
      <dgm:t>
        <a:bodyPr/>
        <a:lstStyle/>
        <a:p>
          <a:endParaRPr lang="en-US"/>
        </a:p>
      </dgm:t>
    </dgm:pt>
    <dgm:pt modelId="{5FCC2B4B-9D4E-9041-8738-4D946A1AC262}">
      <dgm:prSet/>
      <dgm:spPr/>
      <dgm:t>
        <a:bodyPr/>
        <a:lstStyle/>
        <a:p>
          <a:r>
            <a:rPr lang="en-US"/>
            <a:t>PSU Debt</a:t>
          </a:r>
        </a:p>
      </dgm:t>
    </dgm:pt>
    <dgm:pt modelId="{D7621278-CC3B-934C-B1B2-FB18EB31E629}" type="parTrans" cxnId="{3A1F52FC-5AE1-4142-92FF-F7CEC81240C8}">
      <dgm:prSet/>
      <dgm:spPr/>
      <dgm:t>
        <a:bodyPr/>
        <a:lstStyle/>
        <a:p>
          <a:endParaRPr lang="en-US"/>
        </a:p>
      </dgm:t>
    </dgm:pt>
    <dgm:pt modelId="{DAD0DC55-B7D1-6644-A225-A194395C2931}" type="sibTrans" cxnId="{3A1F52FC-5AE1-4142-92FF-F7CEC81240C8}">
      <dgm:prSet/>
      <dgm:spPr/>
      <dgm:t>
        <a:bodyPr/>
        <a:lstStyle/>
        <a:p>
          <a:endParaRPr lang="en-US"/>
        </a:p>
      </dgm:t>
    </dgm:pt>
    <dgm:pt modelId="{CFC24FE4-8FC2-E544-86A2-F3BC7263520B}">
      <dgm:prSet/>
      <dgm:spPr/>
      <dgm:t>
        <a:bodyPr/>
        <a:lstStyle/>
        <a:p>
          <a:r>
            <a:rPr lang="en-US"/>
            <a:t>Public Bank / FI Debt</a:t>
          </a:r>
        </a:p>
      </dgm:t>
    </dgm:pt>
    <dgm:pt modelId="{34ECB635-6242-4842-B874-CC9C65D58139}" type="parTrans" cxnId="{A4AC158B-4F0C-E04E-A37B-9D8BF0A1B2AC}">
      <dgm:prSet/>
      <dgm:spPr/>
      <dgm:t>
        <a:bodyPr/>
        <a:lstStyle/>
        <a:p>
          <a:endParaRPr lang="en-US"/>
        </a:p>
      </dgm:t>
    </dgm:pt>
    <dgm:pt modelId="{06D98446-4DF0-8B47-9520-70A860CC424E}" type="sibTrans" cxnId="{A4AC158B-4F0C-E04E-A37B-9D8BF0A1B2AC}">
      <dgm:prSet/>
      <dgm:spPr/>
      <dgm:t>
        <a:bodyPr/>
        <a:lstStyle/>
        <a:p>
          <a:endParaRPr lang="en-US"/>
        </a:p>
      </dgm:t>
    </dgm:pt>
    <dgm:pt modelId="{D03E61B4-85F8-7B49-A260-C5D66D3237C5}" type="pres">
      <dgm:prSet presAssocID="{E2DA0BDD-D539-994E-815B-F2E22DC8110C}" presName="hierChild1" presStyleCnt="0">
        <dgm:presLayoutVars>
          <dgm:chPref val="1"/>
          <dgm:dir/>
          <dgm:animOne val="branch"/>
          <dgm:animLvl val="lvl"/>
          <dgm:resizeHandles/>
        </dgm:presLayoutVars>
      </dgm:prSet>
      <dgm:spPr/>
      <dgm:t>
        <a:bodyPr/>
        <a:lstStyle/>
        <a:p>
          <a:endParaRPr lang="en-US"/>
        </a:p>
      </dgm:t>
    </dgm:pt>
    <dgm:pt modelId="{18ABA76F-7A55-3A44-BE49-7C437658041D}" type="pres">
      <dgm:prSet presAssocID="{F06E8AF9-4A06-D340-920F-6FCBAA19488F}" presName="hierRoot1" presStyleCnt="0"/>
      <dgm:spPr/>
    </dgm:pt>
    <dgm:pt modelId="{A76E1854-478D-8145-B54D-92F356D48908}" type="pres">
      <dgm:prSet presAssocID="{F06E8AF9-4A06-D340-920F-6FCBAA19488F}" presName="composite" presStyleCnt="0"/>
      <dgm:spPr/>
    </dgm:pt>
    <dgm:pt modelId="{89C08D99-C773-FA47-A821-1F667772F94A}" type="pres">
      <dgm:prSet presAssocID="{F06E8AF9-4A06-D340-920F-6FCBAA19488F}" presName="background" presStyleLbl="node0" presStyleIdx="0" presStyleCnt="1"/>
      <dgm:spPr/>
    </dgm:pt>
    <dgm:pt modelId="{FDE1DB1B-565D-4447-A436-D4313FE02C4F}" type="pres">
      <dgm:prSet presAssocID="{F06E8AF9-4A06-D340-920F-6FCBAA19488F}" presName="text" presStyleLbl="fgAcc0" presStyleIdx="0" presStyleCnt="1">
        <dgm:presLayoutVars>
          <dgm:chPref val="3"/>
        </dgm:presLayoutVars>
      </dgm:prSet>
      <dgm:spPr/>
      <dgm:t>
        <a:bodyPr/>
        <a:lstStyle/>
        <a:p>
          <a:endParaRPr lang="en-US"/>
        </a:p>
      </dgm:t>
    </dgm:pt>
    <dgm:pt modelId="{72EEF002-2305-AF40-AC7E-9E3094AE5981}" type="pres">
      <dgm:prSet presAssocID="{F06E8AF9-4A06-D340-920F-6FCBAA19488F}" presName="hierChild2" presStyleCnt="0"/>
      <dgm:spPr/>
    </dgm:pt>
    <dgm:pt modelId="{F81A6E98-1F0A-634B-AE7C-33D9A759F59D}" type="pres">
      <dgm:prSet presAssocID="{84796E37-8972-6148-A7C2-EAB8F64095BA}" presName="Name10" presStyleLbl="parChTrans1D2" presStyleIdx="0" presStyleCnt="3"/>
      <dgm:spPr/>
      <dgm:t>
        <a:bodyPr/>
        <a:lstStyle/>
        <a:p>
          <a:endParaRPr lang="en-US"/>
        </a:p>
      </dgm:t>
    </dgm:pt>
    <dgm:pt modelId="{61FAE020-E0CE-924E-ABD6-EB033FFEC272}" type="pres">
      <dgm:prSet presAssocID="{13FBE960-481C-B94F-8DDC-A73021CCF1EA}" presName="hierRoot2" presStyleCnt="0"/>
      <dgm:spPr/>
    </dgm:pt>
    <dgm:pt modelId="{4C5D4588-9CB1-F24A-B66D-CF0247DA0FC1}" type="pres">
      <dgm:prSet presAssocID="{13FBE960-481C-B94F-8DDC-A73021CCF1EA}" presName="composite2" presStyleCnt="0"/>
      <dgm:spPr/>
    </dgm:pt>
    <dgm:pt modelId="{D8FF1C64-B78F-164E-B0C2-FAAFD8C40BFA}" type="pres">
      <dgm:prSet presAssocID="{13FBE960-481C-B94F-8DDC-A73021CCF1EA}" presName="background2" presStyleLbl="node2" presStyleIdx="0" presStyleCnt="3"/>
      <dgm:spPr/>
    </dgm:pt>
    <dgm:pt modelId="{F18504EA-CDF8-F141-BD5A-A1A2D96BCB9B}" type="pres">
      <dgm:prSet presAssocID="{13FBE960-481C-B94F-8DDC-A73021CCF1EA}" presName="text2" presStyleLbl="fgAcc2" presStyleIdx="0" presStyleCnt="3">
        <dgm:presLayoutVars>
          <dgm:chPref val="3"/>
        </dgm:presLayoutVars>
      </dgm:prSet>
      <dgm:spPr/>
      <dgm:t>
        <a:bodyPr/>
        <a:lstStyle/>
        <a:p>
          <a:endParaRPr lang="en-US"/>
        </a:p>
      </dgm:t>
    </dgm:pt>
    <dgm:pt modelId="{CECBE281-407A-854C-8FB3-34CB610C266B}" type="pres">
      <dgm:prSet presAssocID="{13FBE960-481C-B94F-8DDC-A73021CCF1EA}" presName="hierChild3" presStyleCnt="0"/>
      <dgm:spPr/>
    </dgm:pt>
    <dgm:pt modelId="{51C612FC-DDE7-814F-A6AA-E5AADF8E6341}" type="pres">
      <dgm:prSet presAssocID="{2A02E064-A780-C642-A8B3-C7EC07213819}" presName="Name17" presStyleLbl="parChTrans1D3" presStyleIdx="0" presStyleCnt="7"/>
      <dgm:spPr/>
      <dgm:t>
        <a:bodyPr/>
        <a:lstStyle/>
        <a:p>
          <a:endParaRPr lang="en-US"/>
        </a:p>
      </dgm:t>
    </dgm:pt>
    <dgm:pt modelId="{DAB0A788-0F96-B945-A83E-002BAF4FE4E5}" type="pres">
      <dgm:prSet presAssocID="{C41E5ADF-CB81-0F4A-B6EC-D80302D05F1A}" presName="hierRoot3" presStyleCnt="0"/>
      <dgm:spPr/>
    </dgm:pt>
    <dgm:pt modelId="{205CB081-7BA2-7C4C-9BCD-3A3704171F78}" type="pres">
      <dgm:prSet presAssocID="{C41E5ADF-CB81-0F4A-B6EC-D80302D05F1A}" presName="composite3" presStyleCnt="0"/>
      <dgm:spPr/>
    </dgm:pt>
    <dgm:pt modelId="{96B0893E-6B6D-2D4A-9FCE-DCE157E74915}" type="pres">
      <dgm:prSet presAssocID="{C41E5ADF-CB81-0F4A-B6EC-D80302D05F1A}" presName="background3" presStyleLbl="node3" presStyleIdx="0" presStyleCnt="7"/>
      <dgm:spPr/>
    </dgm:pt>
    <dgm:pt modelId="{6A1EDD88-213E-FA41-AC0D-2B1B7A6B910E}" type="pres">
      <dgm:prSet presAssocID="{C41E5ADF-CB81-0F4A-B6EC-D80302D05F1A}" presName="text3" presStyleLbl="fgAcc3" presStyleIdx="0" presStyleCnt="7">
        <dgm:presLayoutVars>
          <dgm:chPref val="3"/>
        </dgm:presLayoutVars>
      </dgm:prSet>
      <dgm:spPr/>
      <dgm:t>
        <a:bodyPr/>
        <a:lstStyle/>
        <a:p>
          <a:endParaRPr lang="en-US"/>
        </a:p>
      </dgm:t>
    </dgm:pt>
    <dgm:pt modelId="{030ADD86-9DDA-CE41-90FD-8E7F0934D69E}" type="pres">
      <dgm:prSet presAssocID="{C41E5ADF-CB81-0F4A-B6EC-D80302D05F1A}" presName="hierChild4" presStyleCnt="0"/>
      <dgm:spPr/>
    </dgm:pt>
    <dgm:pt modelId="{3D0F0E1C-B6C6-CC4E-87D4-40151A5A5741}" type="pres">
      <dgm:prSet presAssocID="{45CF6475-2028-E64B-8610-8D8FFED6C91C}" presName="Name17" presStyleLbl="parChTrans1D3" presStyleIdx="1" presStyleCnt="7"/>
      <dgm:spPr/>
      <dgm:t>
        <a:bodyPr/>
        <a:lstStyle/>
        <a:p>
          <a:endParaRPr lang="en-US"/>
        </a:p>
      </dgm:t>
    </dgm:pt>
    <dgm:pt modelId="{DE5F6B69-B28E-2F41-9C3A-30034BE1E1F3}" type="pres">
      <dgm:prSet presAssocID="{2FBAEFDA-A581-6E49-9FBF-1EA3534D28FD}" presName="hierRoot3" presStyleCnt="0"/>
      <dgm:spPr/>
    </dgm:pt>
    <dgm:pt modelId="{7E77D726-D361-8147-B220-07246333F621}" type="pres">
      <dgm:prSet presAssocID="{2FBAEFDA-A581-6E49-9FBF-1EA3534D28FD}" presName="composite3" presStyleCnt="0"/>
      <dgm:spPr/>
    </dgm:pt>
    <dgm:pt modelId="{DD7CEACB-42B5-CA4F-9F43-CE83325E1D91}" type="pres">
      <dgm:prSet presAssocID="{2FBAEFDA-A581-6E49-9FBF-1EA3534D28FD}" presName="background3" presStyleLbl="node3" presStyleIdx="1" presStyleCnt="7"/>
      <dgm:spPr/>
    </dgm:pt>
    <dgm:pt modelId="{F92F4FB6-3433-4248-AA11-B073A445B2AE}" type="pres">
      <dgm:prSet presAssocID="{2FBAEFDA-A581-6E49-9FBF-1EA3534D28FD}" presName="text3" presStyleLbl="fgAcc3" presStyleIdx="1" presStyleCnt="7">
        <dgm:presLayoutVars>
          <dgm:chPref val="3"/>
        </dgm:presLayoutVars>
      </dgm:prSet>
      <dgm:spPr/>
      <dgm:t>
        <a:bodyPr/>
        <a:lstStyle/>
        <a:p>
          <a:endParaRPr lang="en-US"/>
        </a:p>
      </dgm:t>
    </dgm:pt>
    <dgm:pt modelId="{18CFB0F7-C6A0-2745-9525-3998B200D03A}" type="pres">
      <dgm:prSet presAssocID="{2FBAEFDA-A581-6E49-9FBF-1EA3534D28FD}" presName="hierChild4" presStyleCnt="0"/>
      <dgm:spPr/>
    </dgm:pt>
    <dgm:pt modelId="{B60389A7-DEB5-1B4E-ABCA-10DDE79736BF}" type="pres">
      <dgm:prSet presAssocID="{5BA62EBB-B59E-814A-B4B4-EC7CE48564A7}" presName="Name10" presStyleLbl="parChTrans1D2" presStyleIdx="1" presStyleCnt="3"/>
      <dgm:spPr/>
      <dgm:t>
        <a:bodyPr/>
        <a:lstStyle/>
        <a:p>
          <a:endParaRPr lang="en-US"/>
        </a:p>
      </dgm:t>
    </dgm:pt>
    <dgm:pt modelId="{9D43DC1D-E88A-1346-AF09-E22E036FC712}" type="pres">
      <dgm:prSet presAssocID="{24518155-72FA-1E4D-94CB-C0F9ABBD811E}" presName="hierRoot2" presStyleCnt="0"/>
      <dgm:spPr/>
    </dgm:pt>
    <dgm:pt modelId="{974991A0-4A60-7043-B771-7A888B8C2898}" type="pres">
      <dgm:prSet presAssocID="{24518155-72FA-1E4D-94CB-C0F9ABBD811E}" presName="composite2" presStyleCnt="0"/>
      <dgm:spPr/>
    </dgm:pt>
    <dgm:pt modelId="{83D4551E-74C5-F743-96EE-960CC6732DAB}" type="pres">
      <dgm:prSet presAssocID="{24518155-72FA-1E4D-94CB-C0F9ABBD811E}" presName="background2" presStyleLbl="node2" presStyleIdx="1" presStyleCnt="3"/>
      <dgm:spPr/>
    </dgm:pt>
    <dgm:pt modelId="{434BAE2A-8185-BB4C-91B4-952DBA61A5EA}" type="pres">
      <dgm:prSet presAssocID="{24518155-72FA-1E4D-94CB-C0F9ABBD811E}" presName="text2" presStyleLbl="fgAcc2" presStyleIdx="1" presStyleCnt="3">
        <dgm:presLayoutVars>
          <dgm:chPref val="3"/>
        </dgm:presLayoutVars>
      </dgm:prSet>
      <dgm:spPr/>
      <dgm:t>
        <a:bodyPr/>
        <a:lstStyle/>
        <a:p>
          <a:endParaRPr lang="en-US"/>
        </a:p>
      </dgm:t>
    </dgm:pt>
    <dgm:pt modelId="{BF1C5A69-C783-A343-87CB-B597B355C6D0}" type="pres">
      <dgm:prSet presAssocID="{24518155-72FA-1E4D-94CB-C0F9ABBD811E}" presName="hierChild3" presStyleCnt="0"/>
      <dgm:spPr/>
    </dgm:pt>
    <dgm:pt modelId="{88DCFFE1-90F2-9A46-A26E-ADF84DAEC703}" type="pres">
      <dgm:prSet presAssocID="{E2FA640E-95E6-0648-886D-06C189207B50}" presName="Name17" presStyleLbl="parChTrans1D3" presStyleIdx="2" presStyleCnt="7"/>
      <dgm:spPr/>
      <dgm:t>
        <a:bodyPr/>
        <a:lstStyle/>
        <a:p>
          <a:endParaRPr lang="en-US"/>
        </a:p>
      </dgm:t>
    </dgm:pt>
    <dgm:pt modelId="{81254D7D-7422-4B49-80A2-99EC75DA7492}" type="pres">
      <dgm:prSet presAssocID="{9C8F57F8-7DAC-FF4E-B436-9B211EDADEDB}" presName="hierRoot3" presStyleCnt="0"/>
      <dgm:spPr/>
    </dgm:pt>
    <dgm:pt modelId="{A0CA5243-6702-A243-A6AD-72BC3AA96162}" type="pres">
      <dgm:prSet presAssocID="{9C8F57F8-7DAC-FF4E-B436-9B211EDADEDB}" presName="composite3" presStyleCnt="0"/>
      <dgm:spPr/>
    </dgm:pt>
    <dgm:pt modelId="{C4BA3399-98F3-E242-B9E5-2DE141EEBAC8}" type="pres">
      <dgm:prSet presAssocID="{9C8F57F8-7DAC-FF4E-B436-9B211EDADEDB}" presName="background3" presStyleLbl="node3" presStyleIdx="2" presStyleCnt="7"/>
      <dgm:spPr/>
    </dgm:pt>
    <dgm:pt modelId="{AEB211F1-74E1-1D4B-ACF8-C221C60BC341}" type="pres">
      <dgm:prSet presAssocID="{9C8F57F8-7DAC-FF4E-B436-9B211EDADEDB}" presName="text3" presStyleLbl="fgAcc3" presStyleIdx="2" presStyleCnt="7">
        <dgm:presLayoutVars>
          <dgm:chPref val="3"/>
        </dgm:presLayoutVars>
      </dgm:prSet>
      <dgm:spPr/>
      <dgm:t>
        <a:bodyPr/>
        <a:lstStyle/>
        <a:p>
          <a:endParaRPr lang="en-US"/>
        </a:p>
      </dgm:t>
    </dgm:pt>
    <dgm:pt modelId="{3D9C7F74-DBA1-DE47-87A9-2FC15B25B3FE}" type="pres">
      <dgm:prSet presAssocID="{9C8F57F8-7DAC-FF4E-B436-9B211EDADEDB}" presName="hierChild4" presStyleCnt="0"/>
      <dgm:spPr/>
    </dgm:pt>
    <dgm:pt modelId="{DE0F3CF7-CE28-B448-98F2-236C335B7F57}" type="pres">
      <dgm:prSet presAssocID="{D7621278-CC3B-934C-B1B2-FB18EB31E629}" presName="Name17" presStyleLbl="parChTrans1D3" presStyleIdx="3" presStyleCnt="7"/>
      <dgm:spPr/>
      <dgm:t>
        <a:bodyPr/>
        <a:lstStyle/>
        <a:p>
          <a:endParaRPr lang="en-US"/>
        </a:p>
      </dgm:t>
    </dgm:pt>
    <dgm:pt modelId="{DDEBB832-BE67-AD47-83E4-3729C7806C8E}" type="pres">
      <dgm:prSet presAssocID="{5FCC2B4B-9D4E-9041-8738-4D946A1AC262}" presName="hierRoot3" presStyleCnt="0"/>
      <dgm:spPr/>
    </dgm:pt>
    <dgm:pt modelId="{CC8F5F59-D2A7-344D-92DC-C6093277BF23}" type="pres">
      <dgm:prSet presAssocID="{5FCC2B4B-9D4E-9041-8738-4D946A1AC262}" presName="composite3" presStyleCnt="0"/>
      <dgm:spPr/>
    </dgm:pt>
    <dgm:pt modelId="{68B57A66-8B0A-5049-BE17-AA91229EE38B}" type="pres">
      <dgm:prSet presAssocID="{5FCC2B4B-9D4E-9041-8738-4D946A1AC262}" presName="background3" presStyleLbl="node3" presStyleIdx="3" presStyleCnt="7"/>
      <dgm:spPr/>
    </dgm:pt>
    <dgm:pt modelId="{636D6945-0C6F-D747-BB32-1293FA4B84CF}" type="pres">
      <dgm:prSet presAssocID="{5FCC2B4B-9D4E-9041-8738-4D946A1AC262}" presName="text3" presStyleLbl="fgAcc3" presStyleIdx="3" presStyleCnt="7">
        <dgm:presLayoutVars>
          <dgm:chPref val="3"/>
        </dgm:presLayoutVars>
      </dgm:prSet>
      <dgm:spPr/>
      <dgm:t>
        <a:bodyPr/>
        <a:lstStyle/>
        <a:p>
          <a:endParaRPr lang="en-US"/>
        </a:p>
      </dgm:t>
    </dgm:pt>
    <dgm:pt modelId="{1229CD26-2CCF-934D-9890-AED3BAA7E5F1}" type="pres">
      <dgm:prSet presAssocID="{5FCC2B4B-9D4E-9041-8738-4D946A1AC262}" presName="hierChild4" presStyleCnt="0"/>
      <dgm:spPr/>
    </dgm:pt>
    <dgm:pt modelId="{73144AAA-E66B-B24A-8B52-E5A4340581F9}" type="pres">
      <dgm:prSet presAssocID="{34ECB635-6242-4842-B874-CC9C65D58139}" presName="Name17" presStyleLbl="parChTrans1D3" presStyleIdx="4" presStyleCnt="7"/>
      <dgm:spPr/>
      <dgm:t>
        <a:bodyPr/>
        <a:lstStyle/>
        <a:p>
          <a:endParaRPr lang="en-US"/>
        </a:p>
      </dgm:t>
    </dgm:pt>
    <dgm:pt modelId="{4D6D2B84-11DC-184C-B6BC-9528E4AABEC2}" type="pres">
      <dgm:prSet presAssocID="{CFC24FE4-8FC2-E544-86A2-F3BC7263520B}" presName="hierRoot3" presStyleCnt="0"/>
      <dgm:spPr/>
    </dgm:pt>
    <dgm:pt modelId="{3151EC0A-5D22-F745-B26C-BE2E1DB9F746}" type="pres">
      <dgm:prSet presAssocID="{CFC24FE4-8FC2-E544-86A2-F3BC7263520B}" presName="composite3" presStyleCnt="0"/>
      <dgm:spPr/>
    </dgm:pt>
    <dgm:pt modelId="{896E6D27-BC39-0A42-8CBA-742DDF7F961D}" type="pres">
      <dgm:prSet presAssocID="{CFC24FE4-8FC2-E544-86A2-F3BC7263520B}" presName="background3" presStyleLbl="node3" presStyleIdx="4" presStyleCnt="7"/>
      <dgm:spPr/>
    </dgm:pt>
    <dgm:pt modelId="{DB80C4DA-A6EC-CD48-B549-F19AC7F7563F}" type="pres">
      <dgm:prSet presAssocID="{CFC24FE4-8FC2-E544-86A2-F3BC7263520B}" presName="text3" presStyleLbl="fgAcc3" presStyleIdx="4" presStyleCnt="7">
        <dgm:presLayoutVars>
          <dgm:chPref val="3"/>
        </dgm:presLayoutVars>
      </dgm:prSet>
      <dgm:spPr/>
      <dgm:t>
        <a:bodyPr/>
        <a:lstStyle/>
        <a:p>
          <a:endParaRPr lang="en-US"/>
        </a:p>
      </dgm:t>
    </dgm:pt>
    <dgm:pt modelId="{79380F8C-8E7D-5449-87E1-FB89B3B4E233}" type="pres">
      <dgm:prSet presAssocID="{CFC24FE4-8FC2-E544-86A2-F3BC7263520B}" presName="hierChild4" presStyleCnt="0"/>
      <dgm:spPr/>
    </dgm:pt>
    <dgm:pt modelId="{DE70C001-BDDE-6243-95B0-12BE55F859B1}" type="pres">
      <dgm:prSet presAssocID="{2FD86070-8003-404E-815A-42E1CF79DB58}" presName="Name10" presStyleLbl="parChTrans1D2" presStyleIdx="2" presStyleCnt="3"/>
      <dgm:spPr/>
      <dgm:t>
        <a:bodyPr/>
        <a:lstStyle/>
        <a:p>
          <a:endParaRPr lang="en-US"/>
        </a:p>
      </dgm:t>
    </dgm:pt>
    <dgm:pt modelId="{092B599E-2F62-1E43-A849-2218186A70CC}" type="pres">
      <dgm:prSet presAssocID="{3DACB0AB-2CEC-684D-A184-0DD7082375F7}" presName="hierRoot2" presStyleCnt="0"/>
      <dgm:spPr/>
    </dgm:pt>
    <dgm:pt modelId="{EEE4C922-9B8A-674D-A5E0-226E3943D3D4}" type="pres">
      <dgm:prSet presAssocID="{3DACB0AB-2CEC-684D-A184-0DD7082375F7}" presName="composite2" presStyleCnt="0"/>
      <dgm:spPr/>
    </dgm:pt>
    <dgm:pt modelId="{59BA0A8C-9F06-A843-ABB4-B60F9122912F}" type="pres">
      <dgm:prSet presAssocID="{3DACB0AB-2CEC-684D-A184-0DD7082375F7}" presName="background2" presStyleLbl="node2" presStyleIdx="2" presStyleCnt="3"/>
      <dgm:spPr/>
    </dgm:pt>
    <dgm:pt modelId="{EF513EC2-002B-D840-818A-9E8D0C56A908}" type="pres">
      <dgm:prSet presAssocID="{3DACB0AB-2CEC-684D-A184-0DD7082375F7}" presName="text2" presStyleLbl="fgAcc2" presStyleIdx="2" presStyleCnt="3">
        <dgm:presLayoutVars>
          <dgm:chPref val="3"/>
        </dgm:presLayoutVars>
      </dgm:prSet>
      <dgm:spPr/>
      <dgm:t>
        <a:bodyPr/>
        <a:lstStyle/>
        <a:p>
          <a:endParaRPr lang="en-US"/>
        </a:p>
      </dgm:t>
    </dgm:pt>
    <dgm:pt modelId="{F076E3BA-9B43-1D43-8FAE-24A3F5AE67BD}" type="pres">
      <dgm:prSet presAssocID="{3DACB0AB-2CEC-684D-A184-0DD7082375F7}" presName="hierChild3" presStyleCnt="0"/>
      <dgm:spPr/>
    </dgm:pt>
    <dgm:pt modelId="{F22B0C8B-6315-A343-B40D-86AA2E8D256A}" type="pres">
      <dgm:prSet presAssocID="{3AD0FFA5-D0F3-1B46-867F-3202FCDF0B3B}" presName="Name17" presStyleLbl="parChTrans1D3" presStyleIdx="5" presStyleCnt="7"/>
      <dgm:spPr/>
      <dgm:t>
        <a:bodyPr/>
        <a:lstStyle/>
        <a:p>
          <a:endParaRPr lang="en-US"/>
        </a:p>
      </dgm:t>
    </dgm:pt>
    <dgm:pt modelId="{9316BBBA-1BD1-4D48-AFBE-EADDB7DF8B9F}" type="pres">
      <dgm:prSet presAssocID="{642B266C-3029-3C41-A08E-304F8D352537}" presName="hierRoot3" presStyleCnt="0"/>
      <dgm:spPr/>
    </dgm:pt>
    <dgm:pt modelId="{C203E8D9-1D13-3346-B912-6CD172771FEE}" type="pres">
      <dgm:prSet presAssocID="{642B266C-3029-3C41-A08E-304F8D352537}" presName="composite3" presStyleCnt="0"/>
      <dgm:spPr/>
    </dgm:pt>
    <dgm:pt modelId="{761ED346-9ABB-0C4D-8C5C-3DB683FBDE66}" type="pres">
      <dgm:prSet presAssocID="{642B266C-3029-3C41-A08E-304F8D352537}" presName="background3" presStyleLbl="node3" presStyleIdx="5" presStyleCnt="7"/>
      <dgm:spPr/>
    </dgm:pt>
    <dgm:pt modelId="{205AB5FB-59F5-6C4A-93BB-5042A4E47126}" type="pres">
      <dgm:prSet presAssocID="{642B266C-3029-3C41-A08E-304F8D352537}" presName="text3" presStyleLbl="fgAcc3" presStyleIdx="5" presStyleCnt="7">
        <dgm:presLayoutVars>
          <dgm:chPref val="3"/>
        </dgm:presLayoutVars>
      </dgm:prSet>
      <dgm:spPr/>
      <dgm:t>
        <a:bodyPr/>
        <a:lstStyle/>
        <a:p>
          <a:endParaRPr lang="en-US"/>
        </a:p>
      </dgm:t>
    </dgm:pt>
    <dgm:pt modelId="{26303E3E-768E-E04F-8D8F-C757E667DB65}" type="pres">
      <dgm:prSet presAssocID="{642B266C-3029-3C41-A08E-304F8D352537}" presName="hierChild4" presStyleCnt="0"/>
      <dgm:spPr/>
    </dgm:pt>
    <dgm:pt modelId="{2EB3B973-FB09-204C-9504-9A27024961D5}" type="pres">
      <dgm:prSet presAssocID="{84E5AC73-94D9-7349-8B1B-1E1CD0CA7C8D}" presName="Name17" presStyleLbl="parChTrans1D3" presStyleIdx="6" presStyleCnt="7"/>
      <dgm:spPr/>
      <dgm:t>
        <a:bodyPr/>
        <a:lstStyle/>
        <a:p>
          <a:endParaRPr lang="en-US"/>
        </a:p>
      </dgm:t>
    </dgm:pt>
    <dgm:pt modelId="{EDB45DFE-7444-B04D-A39D-F4049171EF38}" type="pres">
      <dgm:prSet presAssocID="{10D7CCF6-B68C-6944-80E7-7663838BDB23}" presName="hierRoot3" presStyleCnt="0"/>
      <dgm:spPr/>
    </dgm:pt>
    <dgm:pt modelId="{C7BFE948-76B1-7A44-B33A-3C23670AF55E}" type="pres">
      <dgm:prSet presAssocID="{10D7CCF6-B68C-6944-80E7-7663838BDB23}" presName="composite3" presStyleCnt="0"/>
      <dgm:spPr/>
    </dgm:pt>
    <dgm:pt modelId="{876ED368-0F10-C74C-9DC6-8C3F2419BF45}" type="pres">
      <dgm:prSet presAssocID="{10D7CCF6-B68C-6944-80E7-7663838BDB23}" presName="background3" presStyleLbl="node3" presStyleIdx="6" presStyleCnt="7"/>
      <dgm:spPr/>
    </dgm:pt>
    <dgm:pt modelId="{F1D2FCB7-DEB7-7C48-86A9-C7920888EA93}" type="pres">
      <dgm:prSet presAssocID="{10D7CCF6-B68C-6944-80E7-7663838BDB23}" presName="text3" presStyleLbl="fgAcc3" presStyleIdx="6" presStyleCnt="7">
        <dgm:presLayoutVars>
          <dgm:chPref val="3"/>
        </dgm:presLayoutVars>
      </dgm:prSet>
      <dgm:spPr/>
      <dgm:t>
        <a:bodyPr/>
        <a:lstStyle/>
        <a:p>
          <a:endParaRPr lang="en-US"/>
        </a:p>
      </dgm:t>
    </dgm:pt>
    <dgm:pt modelId="{14FB2F12-D943-0F43-B703-DFAF93BF9CD1}" type="pres">
      <dgm:prSet presAssocID="{10D7CCF6-B68C-6944-80E7-7663838BDB23}" presName="hierChild4" presStyleCnt="0"/>
      <dgm:spPr/>
    </dgm:pt>
  </dgm:ptLst>
  <dgm:cxnLst>
    <dgm:cxn modelId="{8CAD0423-039D-9F45-9ABA-A7BC7905420F}" srcId="{3DACB0AB-2CEC-684D-A184-0DD7082375F7}" destId="{642B266C-3029-3C41-A08E-304F8D352537}" srcOrd="0" destOrd="0" parTransId="{3AD0FFA5-D0F3-1B46-867F-3202FCDF0B3B}" sibTransId="{E81DC0B5-0455-CE4A-8A32-3E806CD7C7D7}"/>
    <dgm:cxn modelId="{B20473DA-3110-4EA8-B9E3-1CFC1A5C35EA}" type="presOf" srcId="{84796E37-8972-6148-A7C2-EAB8F64095BA}" destId="{F81A6E98-1F0A-634B-AE7C-33D9A759F59D}" srcOrd="0" destOrd="0" presId="urn:microsoft.com/office/officeart/2005/8/layout/hierarchy1"/>
    <dgm:cxn modelId="{A8561016-CD4D-4585-8E5C-8C67F1980A98}" type="presOf" srcId="{E2FA640E-95E6-0648-886D-06C189207B50}" destId="{88DCFFE1-90F2-9A46-A26E-ADF84DAEC703}" srcOrd="0" destOrd="0" presId="urn:microsoft.com/office/officeart/2005/8/layout/hierarchy1"/>
    <dgm:cxn modelId="{E8789B07-8BA8-4982-BB15-A8A46A6A4BB6}" type="presOf" srcId="{3DACB0AB-2CEC-684D-A184-0DD7082375F7}" destId="{EF513EC2-002B-D840-818A-9E8D0C56A908}" srcOrd="0" destOrd="0" presId="urn:microsoft.com/office/officeart/2005/8/layout/hierarchy1"/>
    <dgm:cxn modelId="{983CE5F9-0533-49DF-826D-F6548820F76E}" type="presOf" srcId="{13FBE960-481C-B94F-8DDC-A73021CCF1EA}" destId="{F18504EA-CDF8-F141-BD5A-A1A2D96BCB9B}" srcOrd="0" destOrd="0" presId="urn:microsoft.com/office/officeart/2005/8/layout/hierarchy1"/>
    <dgm:cxn modelId="{A5F0BAAD-A753-4422-BA4E-AFC99138B4AC}" type="presOf" srcId="{642B266C-3029-3C41-A08E-304F8D352537}" destId="{205AB5FB-59F5-6C4A-93BB-5042A4E47126}" srcOrd="0" destOrd="0" presId="urn:microsoft.com/office/officeart/2005/8/layout/hierarchy1"/>
    <dgm:cxn modelId="{3A37292C-8341-4C96-AA91-DB3B8144EAC6}" type="presOf" srcId="{2FBAEFDA-A581-6E49-9FBF-1EA3534D28FD}" destId="{F92F4FB6-3433-4248-AA11-B073A445B2AE}" srcOrd="0" destOrd="0" presId="urn:microsoft.com/office/officeart/2005/8/layout/hierarchy1"/>
    <dgm:cxn modelId="{CB687FB9-4D6C-4F74-8E5C-F91EC25F034F}" type="presOf" srcId="{E2DA0BDD-D539-994E-815B-F2E22DC8110C}" destId="{D03E61B4-85F8-7B49-A260-C5D66D3237C5}" srcOrd="0" destOrd="0" presId="urn:microsoft.com/office/officeart/2005/8/layout/hierarchy1"/>
    <dgm:cxn modelId="{5B6A0AC9-7DE4-DC4C-8DCA-C65B3D47F75C}" srcId="{F06E8AF9-4A06-D340-920F-6FCBAA19488F}" destId="{24518155-72FA-1E4D-94CB-C0F9ABBD811E}" srcOrd="1" destOrd="0" parTransId="{5BA62EBB-B59E-814A-B4B4-EC7CE48564A7}" sibTransId="{121A1D51-A100-9643-862E-C45334383E88}"/>
    <dgm:cxn modelId="{6989D953-C297-415B-AAE9-D40AE3460172}" type="presOf" srcId="{2FD86070-8003-404E-815A-42E1CF79DB58}" destId="{DE70C001-BDDE-6243-95B0-12BE55F859B1}" srcOrd="0" destOrd="0" presId="urn:microsoft.com/office/officeart/2005/8/layout/hierarchy1"/>
    <dgm:cxn modelId="{A4BF542A-F2D2-4234-B4EA-4D08199B2943}" type="presOf" srcId="{C41E5ADF-CB81-0F4A-B6EC-D80302D05F1A}" destId="{6A1EDD88-213E-FA41-AC0D-2B1B7A6B910E}" srcOrd="0" destOrd="0" presId="urn:microsoft.com/office/officeart/2005/8/layout/hierarchy1"/>
    <dgm:cxn modelId="{7D90DE1E-AC81-CB4E-A0F0-D22DE1F657FC}" srcId="{F06E8AF9-4A06-D340-920F-6FCBAA19488F}" destId="{13FBE960-481C-B94F-8DDC-A73021CCF1EA}" srcOrd="0" destOrd="0" parTransId="{84796E37-8972-6148-A7C2-EAB8F64095BA}" sibTransId="{121E7486-3552-6145-8E4C-309B00B4F110}"/>
    <dgm:cxn modelId="{276C6094-22E0-4787-BBD3-5AAAD85AB663}" type="presOf" srcId="{D7621278-CC3B-934C-B1B2-FB18EB31E629}" destId="{DE0F3CF7-CE28-B448-98F2-236C335B7F57}" srcOrd="0" destOrd="0" presId="urn:microsoft.com/office/officeart/2005/8/layout/hierarchy1"/>
    <dgm:cxn modelId="{9C319488-D0AF-4474-843A-22519F07C918}" type="presOf" srcId="{10D7CCF6-B68C-6944-80E7-7663838BDB23}" destId="{F1D2FCB7-DEB7-7C48-86A9-C7920888EA93}" srcOrd="0" destOrd="0" presId="urn:microsoft.com/office/officeart/2005/8/layout/hierarchy1"/>
    <dgm:cxn modelId="{BAEA76F5-EE3F-49D6-8867-9C0D94828245}" type="presOf" srcId="{5BA62EBB-B59E-814A-B4B4-EC7CE48564A7}" destId="{B60389A7-DEB5-1B4E-ABCA-10DDE79736BF}" srcOrd="0" destOrd="0" presId="urn:microsoft.com/office/officeart/2005/8/layout/hierarchy1"/>
    <dgm:cxn modelId="{E6764CBF-584C-4D72-92AF-6AA579B47031}" type="presOf" srcId="{34ECB635-6242-4842-B874-CC9C65D58139}" destId="{73144AAA-E66B-B24A-8B52-E5A4340581F9}" srcOrd="0" destOrd="0" presId="urn:microsoft.com/office/officeart/2005/8/layout/hierarchy1"/>
    <dgm:cxn modelId="{B827BE03-4D6B-4474-982B-E6AE84A26242}" type="presOf" srcId="{45CF6475-2028-E64B-8610-8D8FFED6C91C}" destId="{3D0F0E1C-B6C6-CC4E-87D4-40151A5A5741}" srcOrd="0" destOrd="0" presId="urn:microsoft.com/office/officeart/2005/8/layout/hierarchy1"/>
    <dgm:cxn modelId="{04D39431-FCE1-40C8-9B9D-8458967ADA4F}" type="presOf" srcId="{84E5AC73-94D9-7349-8B1B-1E1CD0CA7C8D}" destId="{2EB3B973-FB09-204C-9504-9A27024961D5}" srcOrd="0" destOrd="0" presId="urn:microsoft.com/office/officeart/2005/8/layout/hierarchy1"/>
    <dgm:cxn modelId="{6E91F790-B6C4-5547-B490-A64663A01100}" srcId="{13FBE960-481C-B94F-8DDC-A73021CCF1EA}" destId="{C41E5ADF-CB81-0F4A-B6EC-D80302D05F1A}" srcOrd="0" destOrd="0" parTransId="{2A02E064-A780-C642-A8B3-C7EC07213819}" sibTransId="{58CA0577-1939-8649-ADDD-6E7BBE7B42B3}"/>
    <dgm:cxn modelId="{70FBC13D-7DE2-4881-B989-CCFCCC3CF476}" type="presOf" srcId="{5FCC2B4B-9D4E-9041-8738-4D946A1AC262}" destId="{636D6945-0C6F-D747-BB32-1293FA4B84CF}" srcOrd="0" destOrd="0" presId="urn:microsoft.com/office/officeart/2005/8/layout/hierarchy1"/>
    <dgm:cxn modelId="{8BD1A9A8-C6CC-409B-AA0C-3D6B5377E999}" type="presOf" srcId="{24518155-72FA-1E4D-94CB-C0F9ABBD811E}" destId="{434BAE2A-8185-BB4C-91B4-952DBA61A5EA}" srcOrd="0" destOrd="0" presId="urn:microsoft.com/office/officeart/2005/8/layout/hierarchy1"/>
    <dgm:cxn modelId="{37CBB1DC-28D7-144A-B3ED-7D52193E050F}" srcId="{F06E8AF9-4A06-D340-920F-6FCBAA19488F}" destId="{3DACB0AB-2CEC-684D-A184-0DD7082375F7}" srcOrd="2" destOrd="0" parTransId="{2FD86070-8003-404E-815A-42E1CF79DB58}" sibTransId="{0590A87C-B941-004A-8BCD-6291EA2976B1}"/>
    <dgm:cxn modelId="{A83DF45C-5783-3341-B637-A41C973EF942}" srcId="{3DACB0AB-2CEC-684D-A184-0DD7082375F7}" destId="{10D7CCF6-B68C-6944-80E7-7663838BDB23}" srcOrd="1" destOrd="0" parTransId="{84E5AC73-94D9-7349-8B1B-1E1CD0CA7C8D}" sibTransId="{60D30EAA-FB7B-9C49-B7D7-C4A8A62EE090}"/>
    <dgm:cxn modelId="{A6259867-C3A2-427F-AA06-99D270EB2A51}" type="presOf" srcId="{2A02E064-A780-C642-A8B3-C7EC07213819}" destId="{51C612FC-DDE7-814F-A6AA-E5AADF8E6341}" srcOrd="0" destOrd="0" presId="urn:microsoft.com/office/officeart/2005/8/layout/hierarchy1"/>
    <dgm:cxn modelId="{4A9A010F-1623-B846-BFC3-A5419F478F5C}" srcId="{E2DA0BDD-D539-994E-815B-F2E22DC8110C}" destId="{F06E8AF9-4A06-D340-920F-6FCBAA19488F}" srcOrd="0" destOrd="0" parTransId="{FA8447FA-524B-E340-B421-0AA1A94AD4DE}" sibTransId="{2D4B4B00-6EBC-B042-81C5-553035FBE356}"/>
    <dgm:cxn modelId="{3A1F52FC-5AE1-4142-92FF-F7CEC81240C8}" srcId="{24518155-72FA-1E4D-94CB-C0F9ABBD811E}" destId="{5FCC2B4B-9D4E-9041-8738-4D946A1AC262}" srcOrd="1" destOrd="0" parTransId="{D7621278-CC3B-934C-B1B2-FB18EB31E629}" sibTransId="{DAD0DC55-B7D1-6644-A225-A194395C2931}"/>
    <dgm:cxn modelId="{4681F8C3-EED8-4622-BCF5-C493785A0B1C}" type="presOf" srcId="{F06E8AF9-4A06-D340-920F-6FCBAA19488F}" destId="{FDE1DB1B-565D-4447-A436-D4313FE02C4F}" srcOrd="0" destOrd="0" presId="urn:microsoft.com/office/officeart/2005/8/layout/hierarchy1"/>
    <dgm:cxn modelId="{6E275FC5-4C9A-4322-8B6A-9E262FB89592}" type="presOf" srcId="{CFC24FE4-8FC2-E544-86A2-F3BC7263520B}" destId="{DB80C4DA-A6EC-CD48-B549-F19AC7F7563F}" srcOrd="0" destOrd="0" presId="urn:microsoft.com/office/officeart/2005/8/layout/hierarchy1"/>
    <dgm:cxn modelId="{A4AC158B-4F0C-E04E-A37B-9D8BF0A1B2AC}" srcId="{24518155-72FA-1E4D-94CB-C0F9ABBD811E}" destId="{CFC24FE4-8FC2-E544-86A2-F3BC7263520B}" srcOrd="2" destOrd="0" parTransId="{34ECB635-6242-4842-B874-CC9C65D58139}" sibTransId="{06D98446-4DF0-8B47-9520-70A860CC424E}"/>
    <dgm:cxn modelId="{95556822-35E0-8D4E-AF7F-F3A74FF0ED0A}" srcId="{13FBE960-481C-B94F-8DDC-A73021CCF1EA}" destId="{2FBAEFDA-A581-6E49-9FBF-1EA3534D28FD}" srcOrd="1" destOrd="0" parTransId="{45CF6475-2028-E64B-8610-8D8FFED6C91C}" sibTransId="{BA332D02-30AF-2D4E-A16C-B68D60332496}"/>
    <dgm:cxn modelId="{04466227-79D3-46F4-96CB-7CE6FAC928DC}" type="presOf" srcId="{3AD0FFA5-D0F3-1B46-867F-3202FCDF0B3B}" destId="{F22B0C8B-6315-A343-B40D-86AA2E8D256A}" srcOrd="0" destOrd="0" presId="urn:microsoft.com/office/officeart/2005/8/layout/hierarchy1"/>
    <dgm:cxn modelId="{A3AFBB85-06EF-514F-B5A7-6DB6D5C425A4}" srcId="{24518155-72FA-1E4D-94CB-C0F9ABBD811E}" destId="{9C8F57F8-7DAC-FF4E-B436-9B211EDADEDB}" srcOrd="0" destOrd="0" parTransId="{E2FA640E-95E6-0648-886D-06C189207B50}" sibTransId="{4775424D-DA98-F343-8872-4BEF380D8FF1}"/>
    <dgm:cxn modelId="{56326EB7-02A3-4319-879F-173EC56E0973}" type="presOf" srcId="{9C8F57F8-7DAC-FF4E-B436-9B211EDADEDB}" destId="{AEB211F1-74E1-1D4B-ACF8-C221C60BC341}" srcOrd="0" destOrd="0" presId="urn:microsoft.com/office/officeart/2005/8/layout/hierarchy1"/>
    <dgm:cxn modelId="{822F8B26-C740-4CF5-908E-7880681E5FCA}" type="presParOf" srcId="{D03E61B4-85F8-7B49-A260-C5D66D3237C5}" destId="{18ABA76F-7A55-3A44-BE49-7C437658041D}" srcOrd="0" destOrd="0" presId="urn:microsoft.com/office/officeart/2005/8/layout/hierarchy1"/>
    <dgm:cxn modelId="{A2E2A55E-A603-4CE5-A2D7-202A1E706985}" type="presParOf" srcId="{18ABA76F-7A55-3A44-BE49-7C437658041D}" destId="{A76E1854-478D-8145-B54D-92F356D48908}" srcOrd="0" destOrd="0" presId="urn:microsoft.com/office/officeart/2005/8/layout/hierarchy1"/>
    <dgm:cxn modelId="{F83C6A60-A53A-4C0F-A6D4-7A9AA367945A}" type="presParOf" srcId="{A76E1854-478D-8145-B54D-92F356D48908}" destId="{89C08D99-C773-FA47-A821-1F667772F94A}" srcOrd="0" destOrd="0" presId="urn:microsoft.com/office/officeart/2005/8/layout/hierarchy1"/>
    <dgm:cxn modelId="{99E41E99-495B-4605-9AB9-79BBC0C58A7F}" type="presParOf" srcId="{A76E1854-478D-8145-B54D-92F356D48908}" destId="{FDE1DB1B-565D-4447-A436-D4313FE02C4F}" srcOrd="1" destOrd="0" presId="urn:microsoft.com/office/officeart/2005/8/layout/hierarchy1"/>
    <dgm:cxn modelId="{F53826AC-8C63-4964-8265-DED7B80D7F88}" type="presParOf" srcId="{18ABA76F-7A55-3A44-BE49-7C437658041D}" destId="{72EEF002-2305-AF40-AC7E-9E3094AE5981}" srcOrd="1" destOrd="0" presId="urn:microsoft.com/office/officeart/2005/8/layout/hierarchy1"/>
    <dgm:cxn modelId="{D10E0D2F-8940-45AB-B33A-A12A6D5046D9}" type="presParOf" srcId="{72EEF002-2305-AF40-AC7E-9E3094AE5981}" destId="{F81A6E98-1F0A-634B-AE7C-33D9A759F59D}" srcOrd="0" destOrd="0" presId="urn:microsoft.com/office/officeart/2005/8/layout/hierarchy1"/>
    <dgm:cxn modelId="{B0C5E087-41B3-42A9-B5DA-DB9988892D8A}" type="presParOf" srcId="{72EEF002-2305-AF40-AC7E-9E3094AE5981}" destId="{61FAE020-E0CE-924E-ABD6-EB033FFEC272}" srcOrd="1" destOrd="0" presId="urn:microsoft.com/office/officeart/2005/8/layout/hierarchy1"/>
    <dgm:cxn modelId="{CEC5504F-5E06-4F1C-8D8E-2DE69A3DAE7B}" type="presParOf" srcId="{61FAE020-E0CE-924E-ABD6-EB033FFEC272}" destId="{4C5D4588-9CB1-F24A-B66D-CF0247DA0FC1}" srcOrd="0" destOrd="0" presId="urn:microsoft.com/office/officeart/2005/8/layout/hierarchy1"/>
    <dgm:cxn modelId="{1AF2E25E-204D-4A9F-B2CE-E178761288F8}" type="presParOf" srcId="{4C5D4588-9CB1-F24A-B66D-CF0247DA0FC1}" destId="{D8FF1C64-B78F-164E-B0C2-FAAFD8C40BFA}" srcOrd="0" destOrd="0" presId="urn:microsoft.com/office/officeart/2005/8/layout/hierarchy1"/>
    <dgm:cxn modelId="{A054280F-EC35-411A-8A88-B5A307A1EB37}" type="presParOf" srcId="{4C5D4588-9CB1-F24A-B66D-CF0247DA0FC1}" destId="{F18504EA-CDF8-F141-BD5A-A1A2D96BCB9B}" srcOrd="1" destOrd="0" presId="urn:microsoft.com/office/officeart/2005/8/layout/hierarchy1"/>
    <dgm:cxn modelId="{77475750-C10E-4F74-9CC1-F0EF98C8DA1B}" type="presParOf" srcId="{61FAE020-E0CE-924E-ABD6-EB033FFEC272}" destId="{CECBE281-407A-854C-8FB3-34CB610C266B}" srcOrd="1" destOrd="0" presId="urn:microsoft.com/office/officeart/2005/8/layout/hierarchy1"/>
    <dgm:cxn modelId="{0B8E1701-FB92-4B4C-854D-CF19E9A4F53F}" type="presParOf" srcId="{CECBE281-407A-854C-8FB3-34CB610C266B}" destId="{51C612FC-DDE7-814F-A6AA-E5AADF8E6341}" srcOrd="0" destOrd="0" presId="urn:microsoft.com/office/officeart/2005/8/layout/hierarchy1"/>
    <dgm:cxn modelId="{75F7DE5D-CB17-4FF6-BBD3-067C6DE7040C}" type="presParOf" srcId="{CECBE281-407A-854C-8FB3-34CB610C266B}" destId="{DAB0A788-0F96-B945-A83E-002BAF4FE4E5}" srcOrd="1" destOrd="0" presId="urn:microsoft.com/office/officeart/2005/8/layout/hierarchy1"/>
    <dgm:cxn modelId="{C3B44272-E7F4-4EA6-A82E-1F4C7A46FBA3}" type="presParOf" srcId="{DAB0A788-0F96-B945-A83E-002BAF4FE4E5}" destId="{205CB081-7BA2-7C4C-9BCD-3A3704171F78}" srcOrd="0" destOrd="0" presId="urn:microsoft.com/office/officeart/2005/8/layout/hierarchy1"/>
    <dgm:cxn modelId="{763B0643-F60F-4F36-8B14-DEA06AB9EC9F}" type="presParOf" srcId="{205CB081-7BA2-7C4C-9BCD-3A3704171F78}" destId="{96B0893E-6B6D-2D4A-9FCE-DCE157E74915}" srcOrd="0" destOrd="0" presId="urn:microsoft.com/office/officeart/2005/8/layout/hierarchy1"/>
    <dgm:cxn modelId="{9BA43200-39B5-4702-8139-6EE99278D9F6}" type="presParOf" srcId="{205CB081-7BA2-7C4C-9BCD-3A3704171F78}" destId="{6A1EDD88-213E-FA41-AC0D-2B1B7A6B910E}" srcOrd="1" destOrd="0" presId="urn:microsoft.com/office/officeart/2005/8/layout/hierarchy1"/>
    <dgm:cxn modelId="{31488059-8048-40A5-84DE-30EC47617EB2}" type="presParOf" srcId="{DAB0A788-0F96-B945-A83E-002BAF4FE4E5}" destId="{030ADD86-9DDA-CE41-90FD-8E7F0934D69E}" srcOrd="1" destOrd="0" presId="urn:microsoft.com/office/officeart/2005/8/layout/hierarchy1"/>
    <dgm:cxn modelId="{343968A5-D4D5-48D5-A655-7AD2CE4BF8FD}" type="presParOf" srcId="{CECBE281-407A-854C-8FB3-34CB610C266B}" destId="{3D0F0E1C-B6C6-CC4E-87D4-40151A5A5741}" srcOrd="2" destOrd="0" presId="urn:microsoft.com/office/officeart/2005/8/layout/hierarchy1"/>
    <dgm:cxn modelId="{8B8F8857-DAD2-4083-A8B2-66EFCA5A9669}" type="presParOf" srcId="{CECBE281-407A-854C-8FB3-34CB610C266B}" destId="{DE5F6B69-B28E-2F41-9C3A-30034BE1E1F3}" srcOrd="3" destOrd="0" presId="urn:microsoft.com/office/officeart/2005/8/layout/hierarchy1"/>
    <dgm:cxn modelId="{D8DC753A-C6BE-4F99-8D5C-40B31901B4B3}" type="presParOf" srcId="{DE5F6B69-B28E-2F41-9C3A-30034BE1E1F3}" destId="{7E77D726-D361-8147-B220-07246333F621}" srcOrd="0" destOrd="0" presId="urn:microsoft.com/office/officeart/2005/8/layout/hierarchy1"/>
    <dgm:cxn modelId="{179ABF88-DB4C-40EC-AD01-007529060C7F}" type="presParOf" srcId="{7E77D726-D361-8147-B220-07246333F621}" destId="{DD7CEACB-42B5-CA4F-9F43-CE83325E1D91}" srcOrd="0" destOrd="0" presId="urn:microsoft.com/office/officeart/2005/8/layout/hierarchy1"/>
    <dgm:cxn modelId="{EAEE5F4A-81AA-4808-A3CA-04EFA7BFA896}" type="presParOf" srcId="{7E77D726-D361-8147-B220-07246333F621}" destId="{F92F4FB6-3433-4248-AA11-B073A445B2AE}" srcOrd="1" destOrd="0" presId="urn:microsoft.com/office/officeart/2005/8/layout/hierarchy1"/>
    <dgm:cxn modelId="{1F99BF54-9F35-4899-8F21-F97C515969C8}" type="presParOf" srcId="{DE5F6B69-B28E-2F41-9C3A-30034BE1E1F3}" destId="{18CFB0F7-C6A0-2745-9525-3998B200D03A}" srcOrd="1" destOrd="0" presId="urn:microsoft.com/office/officeart/2005/8/layout/hierarchy1"/>
    <dgm:cxn modelId="{3E7BE92E-31B0-4C6D-A6CC-3CD486DFFDD5}" type="presParOf" srcId="{72EEF002-2305-AF40-AC7E-9E3094AE5981}" destId="{B60389A7-DEB5-1B4E-ABCA-10DDE79736BF}" srcOrd="2" destOrd="0" presId="urn:microsoft.com/office/officeart/2005/8/layout/hierarchy1"/>
    <dgm:cxn modelId="{790C699F-89A6-4620-808D-87505D82F433}" type="presParOf" srcId="{72EEF002-2305-AF40-AC7E-9E3094AE5981}" destId="{9D43DC1D-E88A-1346-AF09-E22E036FC712}" srcOrd="3" destOrd="0" presId="urn:microsoft.com/office/officeart/2005/8/layout/hierarchy1"/>
    <dgm:cxn modelId="{A993574A-0696-46A4-9B92-58E736205649}" type="presParOf" srcId="{9D43DC1D-E88A-1346-AF09-E22E036FC712}" destId="{974991A0-4A60-7043-B771-7A888B8C2898}" srcOrd="0" destOrd="0" presId="urn:microsoft.com/office/officeart/2005/8/layout/hierarchy1"/>
    <dgm:cxn modelId="{0AA6C26D-7DC0-4FA2-B28F-74F9F305D10B}" type="presParOf" srcId="{974991A0-4A60-7043-B771-7A888B8C2898}" destId="{83D4551E-74C5-F743-96EE-960CC6732DAB}" srcOrd="0" destOrd="0" presId="urn:microsoft.com/office/officeart/2005/8/layout/hierarchy1"/>
    <dgm:cxn modelId="{30AF3140-F883-4503-9F1C-0E7B82134AAB}" type="presParOf" srcId="{974991A0-4A60-7043-B771-7A888B8C2898}" destId="{434BAE2A-8185-BB4C-91B4-952DBA61A5EA}" srcOrd="1" destOrd="0" presId="urn:microsoft.com/office/officeart/2005/8/layout/hierarchy1"/>
    <dgm:cxn modelId="{2940FB39-5DC0-4940-B23A-1BE736587749}" type="presParOf" srcId="{9D43DC1D-E88A-1346-AF09-E22E036FC712}" destId="{BF1C5A69-C783-A343-87CB-B597B355C6D0}" srcOrd="1" destOrd="0" presId="urn:microsoft.com/office/officeart/2005/8/layout/hierarchy1"/>
    <dgm:cxn modelId="{E59B5D51-A316-47FB-B86C-32AAC375F842}" type="presParOf" srcId="{BF1C5A69-C783-A343-87CB-B597B355C6D0}" destId="{88DCFFE1-90F2-9A46-A26E-ADF84DAEC703}" srcOrd="0" destOrd="0" presId="urn:microsoft.com/office/officeart/2005/8/layout/hierarchy1"/>
    <dgm:cxn modelId="{79AEC2B0-DA35-4108-9EF6-795EDB3BA36C}" type="presParOf" srcId="{BF1C5A69-C783-A343-87CB-B597B355C6D0}" destId="{81254D7D-7422-4B49-80A2-99EC75DA7492}" srcOrd="1" destOrd="0" presId="urn:microsoft.com/office/officeart/2005/8/layout/hierarchy1"/>
    <dgm:cxn modelId="{55A261F8-F93F-4D4C-9252-72529364D038}" type="presParOf" srcId="{81254D7D-7422-4B49-80A2-99EC75DA7492}" destId="{A0CA5243-6702-A243-A6AD-72BC3AA96162}" srcOrd="0" destOrd="0" presId="urn:microsoft.com/office/officeart/2005/8/layout/hierarchy1"/>
    <dgm:cxn modelId="{E10ED5E9-D13E-4499-9F6A-234114D3D3D9}" type="presParOf" srcId="{A0CA5243-6702-A243-A6AD-72BC3AA96162}" destId="{C4BA3399-98F3-E242-B9E5-2DE141EEBAC8}" srcOrd="0" destOrd="0" presId="urn:microsoft.com/office/officeart/2005/8/layout/hierarchy1"/>
    <dgm:cxn modelId="{6718D3EC-7B9E-4680-AD39-A0AC863C3B66}" type="presParOf" srcId="{A0CA5243-6702-A243-A6AD-72BC3AA96162}" destId="{AEB211F1-74E1-1D4B-ACF8-C221C60BC341}" srcOrd="1" destOrd="0" presId="urn:microsoft.com/office/officeart/2005/8/layout/hierarchy1"/>
    <dgm:cxn modelId="{D2450DAB-01DC-47DD-BB92-7E232000896D}" type="presParOf" srcId="{81254D7D-7422-4B49-80A2-99EC75DA7492}" destId="{3D9C7F74-DBA1-DE47-87A9-2FC15B25B3FE}" srcOrd="1" destOrd="0" presId="urn:microsoft.com/office/officeart/2005/8/layout/hierarchy1"/>
    <dgm:cxn modelId="{93802DCA-C1D8-4D09-ABDD-DC8D1F5FFA2A}" type="presParOf" srcId="{BF1C5A69-C783-A343-87CB-B597B355C6D0}" destId="{DE0F3CF7-CE28-B448-98F2-236C335B7F57}" srcOrd="2" destOrd="0" presId="urn:microsoft.com/office/officeart/2005/8/layout/hierarchy1"/>
    <dgm:cxn modelId="{F81895C4-8C73-4692-8C3D-B13023DFD4E9}" type="presParOf" srcId="{BF1C5A69-C783-A343-87CB-B597B355C6D0}" destId="{DDEBB832-BE67-AD47-83E4-3729C7806C8E}" srcOrd="3" destOrd="0" presId="urn:microsoft.com/office/officeart/2005/8/layout/hierarchy1"/>
    <dgm:cxn modelId="{0F73AB99-B7D5-4755-8491-4843766D6649}" type="presParOf" srcId="{DDEBB832-BE67-AD47-83E4-3729C7806C8E}" destId="{CC8F5F59-D2A7-344D-92DC-C6093277BF23}" srcOrd="0" destOrd="0" presId="urn:microsoft.com/office/officeart/2005/8/layout/hierarchy1"/>
    <dgm:cxn modelId="{C85CEBE8-F7B4-49AD-A62A-54F0B196056C}" type="presParOf" srcId="{CC8F5F59-D2A7-344D-92DC-C6093277BF23}" destId="{68B57A66-8B0A-5049-BE17-AA91229EE38B}" srcOrd="0" destOrd="0" presId="urn:microsoft.com/office/officeart/2005/8/layout/hierarchy1"/>
    <dgm:cxn modelId="{7517A1BA-8C37-45F8-A91C-5B9AE6224AF7}" type="presParOf" srcId="{CC8F5F59-D2A7-344D-92DC-C6093277BF23}" destId="{636D6945-0C6F-D747-BB32-1293FA4B84CF}" srcOrd="1" destOrd="0" presId="urn:microsoft.com/office/officeart/2005/8/layout/hierarchy1"/>
    <dgm:cxn modelId="{8496BE54-5655-4F85-910F-CF474E08C3D4}" type="presParOf" srcId="{DDEBB832-BE67-AD47-83E4-3729C7806C8E}" destId="{1229CD26-2CCF-934D-9890-AED3BAA7E5F1}" srcOrd="1" destOrd="0" presId="urn:microsoft.com/office/officeart/2005/8/layout/hierarchy1"/>
    <dgm:cxn modelId="{FB56FAD3-C2D0-48DC-A0A6-39A06FF2BF07}" type="presParOf" srcId="{BF1C5A69-C783-A343-87CB-B597B355C6D0}" destId="{73144AAA-E66B-B24A-8B52-E5A4340581F9}" srcOrd="4" destOrd="0" presId="urn:microsoft.com/office/officeart/2005/8/layout/hierarchy1"/>
    <dgm:cxn modelId="{1C2154D0-80D3-4F81-8A82-E62602A11991}" type="presParOf" srcId="{BF1C5A69-C783-A343-87CB-B597B355C6D0}" destId="{4D6D2B84-11DC-184C-B6BC-9528E4AABEC2}" srcOrd="5" destOrd="0" presId="urn:microsoft.com/office/officeart/2005/8/layout/hierarchy1"/>
    <dgm:cxn modelId="{A00C11C2-143A-4B61-9F01-95B22EF54B75}" type="presParOf" srcId="{4D6D2B84-11DC-184C-B6BC-9528E4AABEC2}" destId="{3151EC0A-5D22-F745-B26C-BE2E1DB9F746}" srcOrd="0" destOrd="0" presId="urn:microsoft.com/office/officeart/2005/8/layout/hierarchy1"/>
    <dgm:cxn modelId="{E5FDCF86-F81A-4DB5-A05E-458DA094BD2C}" type="presParOf" srcId="{3151EC0A-5D22-F745-B26C-BE2E1DB9F746}" destId="{896E6D27-BC39-0A42-8CBA-742DDF7F961D}" srcOrd="0" destOrd="0" presId="urn:microsoft.com/office/officeart/2005/8/layout/hierarchy1"/>
    <dgm:cxn modelId="{3ED33F11-E7D8-4108-9932-140E17E3A271}" type="presParOf" srcId="{3151EC0A-5D22-F745-B26C-BE2E1DB9F746}" destId="{DB80C4DA-A6EC-CD48-B549-F19AC7F7563F}" srcOrd="1" destOrd="0" presId="urn:microsoft.com/office/officeart/2005/8/layout/hierarchy1"/>
    <dgm:cxn modelId="{454EEA94-A73B-4B61-A239-49CC8AE5A421}" type="presParOf" srcId="{4D6D2B84-11DC-184C-B6BC-9528E4AABEC2}" destId="{79380F8C-8E7D-5449-87E1-FB89B3B4E233}" srcOrd="1" destOrd="0" presId="urn:microsoft.com/office/officeart/2005/8/layout/hierarchy1"/>
    <dgm:cxn modelId="{BD015E77-EDBC-4549-8C94-E46AC3CD30AE}" type="presParOf" srcId="{72EEF002-2305-AF40-AC7E-9E3094AE5981}" destId="{DE70C001-BDDE-6243-95B0-12BE55F859B1}" srcOrd="4" destOrd="0" presId="urn:microsoft.com/office/officeart/2005/8/layout/hierarchy1"/>
    <dgm:cxn modelId="{90A41ADC-A0D0-4C86-9A06-60DB946E2AB6}" type="presParOf" srcId="{72EEF002-2305-AF40-AC7E-9E3094AE5981}" destId="{092B599E-2F62-1E43-A849-2218186A70CC}" srcOrd="5" destOrd="0" presId="urn:microsoft.com/office/officeart/2005/8/layout/hierarchy1"/>
    <dgm:cxn modelId="{401059CF-C6BE-490D-A3D5-7D2E0B4CA6BF}" type="presParOf" srcId="{092B599E-2F62-1E43-A849-2218186A70CC}" destId="{EEE4C922-9B8A-674D-A5E0-226E3943D3D4}" srcOrd="0" destOrd="0" presId="urn:microsoft.com/office/officeart/2005/8/layout/hierarchy1"/>
    <dgm:cxn modelId="{5E0D0873-2B0A-4D92-AC80-615EF80FA815}" type="presParOf" srcId="{EEE4C922-9B8A-674D-A5E0-226E3943D3D4}" destId="{59BA0A8C-9F06-A843-ABB4-B60F9122912F}" srcOrd="0" destOrd="0" presId="urn:microsoft.com/office/officeart/2005/8/layout/hierarchy1"/>
    <dgm:cxn modelId="{78C77855-1E45-4D51-A135-1090EAD2DF23}" type="presParOf" srcId="{EEE4C922-9B8A-674D-A5E0-226E3943D3D4}" destId="{EF513EC2-002B-D840-818A-9E8D0C56A908}" srcOrd="1" destOrd="0" presId="urn:microsoft.com/office/officeart/2005/8/layout/hierarchy1"/>
    <dgm:cxn modelId="{B0140378-DF9A-441F-A66F-6B77DDF5BABA}" type="presParOf" srcId="{092B599E-2F62-1E43-A849-2218186A70CC}" destId="{F076E3BA-9B43-1D43-8FAE-24A3F5AE67BD}" srcOrd="1" destOrd="0" presId="urn:microsoft.com/office/officeart/2005/8/layout/hierarchy1"/>
    <dgm:cxn modelId="{C79AFE2C-4159-4000-9B40-BEDEC155DEF0}" type="presParOf" srcId="{F076E3BA-9B43-1D43-8FAE-24A3F5AE67BD}" destId="{F22B0C8B-6315-A343-B40D-86AA2E8D256A}" srcOrd="0" destOrd="0" presId="urn:microsoft.com/office/officeart/2005/8/layout/hierarchy1"/>
    <dgm:cxn modelId="{7AF50719-8051-469F-A5DC-766DC8881C1D}" type="presParOf" srcId="{F076E3BA-9B43-1D43-8FAE-24A3F5AE67BD}" destId="{9316BBBA-1BD1-4D48-AFBE-EADDB7DF8B9F}" srcOrd="1" destOrd="0" presId="urn:microsoft.com/office/officeart/2005/8/layout/hierarchy1"/>
    <dgm:cxn modelId="{25A2F020-0901-4A92-915C-8B89C6C1F4B7}" type="presParOf" srcId="{9316BBBA-1BD1-4D48-AFBE-EADDB7DF8B9F}" destId="{C203E8D9-1D13-3346-B912-6CD172771FEE}" srcOrd="0" destOrd="0" presId="urn:microsoft.com/office/officeart/2005/8/layout/hierarchy1"/>
    <dgm:cxn modelId="{51356BD7-F46D-46B5-BA75-10A8FCFDF64C}" type="presParOf" srcId="{C203E8D9-1D13-3346-B912-6CD172771FEE}" destId="{761ED346-9ABB-0C4D-8C5C-3DB683FBDE66}" srcOrd="0" destOrd="0" presId="urn:microsoft.com/office/officeart/2005/8/layout/hierarchy1"/>
    <dgm:cxn modelId="{5CF0F824-A47C-43D2-BEEC-BBD572C39B5E}" type="presParOf" srcId="{C203E8D9-1D13-3346-B912-6CD172771FEE}" destId="{205AB5FB-59F5-6C4A-93BB-5042A4E47126}" srcOrd="1" destOrd="0" presId="urn:microsoft.com/office/officeart/2005/8/layout/hierarchy1"/>
    <dgm:cxn modelId="{4C528FED-CC8B-48B8-BA32-FA867DFD5C10}" type="presParOf" srcId="{9316BBBA-1BD1-4D48-AFBE-EADDB7DF8B9F}" destId="{26303E3E-768E-E04F-8D8F-C757E667DB65}" srcOrd="1" destOrd="0" presId="urn:microsoft.com/office/officeart/2005/8/layout/hierarchy1"/>
    <dgm:cxn modelId="{2A701CB8-58A7-491E-B7C1-7B05CAA07223}" type="presParOf" srcId="{F076E3BA-9B43-1D43-8FAE-24A3F5AE67BD}" destId="{2EB3B973-FB09-204C-9504-9A27024961D5}" srcOrd="2" destOrd="0" presId="urn:microsoft.com/office/officeart/2005/8/layout/hierarchy1"/>
    <dgm:cxn modelId="{5E661CB0-97E5-409A-B329-DAC98F59B84F}" type="presParOf" srcId="{F076E3BA-9B43-1D43-8FAE-24A3F5AE67BD}" destId="{EDB45DFE-7444-B04D-A39D-F4049171EF38}" srcOrd="3" destOrd="0" presId="urn:microsoft.com/office/officeart/2005/8/layout/hierarchy1"/>
    <dgm:cxn modelId="{B7EE1736-5C94-499D-8DC5-ADB941CD199A}" type="presParOf" srcId="{EDB45DFE-7444-B04D-A39D-F4049171EF38}" destId="{C7BFE948-76B1-7A44-B33A-3C23670AF55E}" srcOrd="0" destOrd="0" presId="urn:microsoft.com/office/officeart/2005/8/layout/hierarchy1"/>
    <dgm:cxn modelId="{FE98805C-2092-4A57-92FC-11DD7AC98789}" type="presParOf" srcId="{C7BFE948-76B1-7A44-B33A-3C23670AF55E}" destId="{876ED368-0F10-C74C-9DC6-8C3F2419BF45}" srcOrd="0" destOrd="0" presId="urn:microsoft.com/office/officeart/2005/8/layout/hierarchy1"/>
    <dgm:cxn modelId="{DC453581-6ECE-4094-B775-DFD09736180E}" type="presParOf" srcId="{C7BFE948-76B1-7A44-B33A-3C23670AF55E}" destId="{F1D2FCB7-DEB7-7C48-86A9-C7920888EA93}" srcOrd="1" destOrd="0" presId="urn:microsoft.com/office/officeart/2005/8/layout/hierarchy1"/>
    <dgm:cxn modelId="{173FAAA5-EDBD-482E-A6F7-F249840D6D7C}" type="presParOf" srcId="{EDB45DFE-7444-B04D-A39D-F4049171EF38}" destId="{14FB2F12-D943-0F43-B703-DFAF93BF9CD1}"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3B973-FB09-204C-9504-9A27024961D5}">
      <dsp:nvSpPr>
        <dsp:cNvPr id="0" name=""/>
        <dsp:cNvSpPr/>
      </dsp:nvSpPr>
      <dsp:spPr>
        <a:xfrm>
          <a:off x="4504373" y="1702267"/>
          <a:ext cx="380747" cy="181201"/>
        </a:xfrm>
        <a:custGeom>
          <a:avLst/>
          <a:gdLst/>
          <a:ahLst/>
          <a:cxnLst/>
          <a:rect l="0" t="0" r="0" b="0"/>
          <a:pathLst>
            <a:path>
              <a:moveTo>
                <a:pt x="0" y="0"/>
              </a:moveTo>
              <a:lnTo>
                <a:pt x="0" y="123483"/>
              </a:lnTo>
              <a:lnTo>
                <a:pt x="380747" y="123483"/>
              </a:lnTo>
              <a:lnTo>
                <a:pt x="380747"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2B0C8B-6315-A343-B40D-86AA2E8D256A}">
      <dsp:nvSpPr>
        <dsp:cNvPr id="0" name=""/>
        <dsp:cNvSpPr/>
      </dsp:nvSpPr>
      <dsp:spPr>
        <a:xfrm>
          <a:off x="4123625" y="1702267"/>
          <a:ext cx="380747" cy="181201"/>
        </a:xfrm>
        <a:custGeom>
          <a:avLst/>
          <a:gdLst/>
          <a:ahLst/>
          <a:cxnLst/>
          <a:rect l="0" t="0" r="0" b="0"/>
          <a:pathLst>
            <a:path>
              <a:moveTo>
                <a:pt x="380747" y="0"/>
              </a:moveTo>
              <a:lnTo>
                <a:pt x="380747" y="123483"/>
              </a:lnTo>
              <a:lnTo>
                <a:pt x="0" y="123483"/>
              </a:lnTo>
              <a:lnTo>
                <a:pt x="0"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70C001-BDDE-6243-95B0-12BE55F859B1}">
      <dsp:nvSpPr>
        <dsp:cNvPr id="0" name=""/>
        <dsp:cNvSpPr/>
      </dsp:nvSpPr>
      <dsp:spPr>
        <a:xfrm>
          <a:off x="2600636" y="1125435"/>
          <a:ext cx="1903736" cy="181201"/>
        </a:xfrm>
        <a:custGeom>
          <a:avLst/>
          <a:gdLst/>
          <a:ahLst/>
          <a:cxnLst/>
          <a:rect l="0" t="0" r="0" b="0"/>
          <a:pathLst>
            <a:path>
              <a:moveTo>
                <a:pt x="0" y="0"/>
              </a:moveTo>
              <a:lnTo>
                <a:pt x="0" y="123483"/>
              </a:lnTo>
              <a:lnTo>
                <a:pt x="1903736" y="123483"/>
              </a:lnTo>
              <a:lnTo>
                <a:pt x="1903736" y="18120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144AAA-E66B-B24A-8B52-E5A4340581F9}">
      <dsp:nvSpPr>
        <dsp:cNvPr id="0" name=""/>
        <dsp:cNvSpPr/>
      </dsp:nvSpPr>
      <dsp:spPr>
        <a:xfrm>
          <a:off x="2600636" y="1702267"/>
          <a:ext cx="761494" cy="181201"/>
        </a:xfrm>
        <a:custGeom>
          <a:avLst/>
          <a:gdLst/>
          <a:ahLst/>
          <a:cxnLst/>
          <a:rect l="0" t="0" r="0" b="0"/>
          <a:pathLst>
            <a:path>
              <a:moveTo>
                <a:pt x="0" y="0"/>
              </a:moveTo>
              <a:lnTo>
                <a:pt x="0" y="123483"/>
              </a:lnTo>
              <a:lnTo>
                <a:pt x="761494" y="123483"/>
              </a:lnTo>
              <a:lnTo>
                <a:pt x="761494"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0F3CF7-CE28-B448-98F2-236C335B7F57}">
      <dsp:nvSpPr>
        <dsp:cNvPr id="0" name=""/>
        <dsp:cNvSpPr/>
      </dsp:nvSpPr>
      <dsp:spPr>
        <a:xfrm>
          <a:off x="2554916" y="1702267"/>
          <a:ext cx="91440" cy="181201"/>
        </a:xfrm>
        <a:custGeom>
          <a:avLst/>
          <a:gdLst/>
          <a:ahLst/>
          <a:cxnLst/>
          <a:rect l="0" t="0" r="0" b="0"/>
          <a:pathLst>
            <a:path>
              <a:moveTo>
                <a:pt x="45720" y="0"/>
              </a:moveTo>
              <a:lnTo>
                <a:pt x="45720"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DCFFE1-90F2-9A46-A26E-ADF84DAEC703}">
      <dsp:nvSpPr>
        <dsp:cNvPr id="0" name=""/>
        <dsp:cNvSpPr/>
      </dsp:nvSpPr>
      <dsp:spPr>
        <a:xfrm>
          <a:off x="1839142" y="1702267"/>
          <a:ext cx="761494" cy="181201"/>
        </a:xfrm>
        <a:custGeom>
          <a:avLst/>
          <a:gdLst/>
          <a:ahLst/>
          <a:cxnLst/>
          <a:rect l="0" t="0" r="0" b="0"/>
          <a:pathLst>
            <a:path>
              <a:moveTo>
                <a:pt x="761494" y="0"/>
              </a:moveTo>
              <a:lnTo>
                <a:pt x="761494" y="123483"/>
              </a:lnTo>
              <a:lnTo>
                <a:pt x="0" y="123483"/>
              </a:lnTo>
              <a:lnTo>
                <a:pt x="0"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0389A7-DEB5-1B4E-ABCA-10DDE79736BF}">
      <dsp:nvSpPr>
        <dsp:cNvPr id="0" name=""/>
        <dsp:cNvSpPr/>
      </dsp:nvSpPr>
      <dsp:spPr>
        <a:xfrm>
          <a:off x="2554916" y="1125435"/>
          <a:ext cx="91440" cy="181201"/>
        </a:xfrm>
        <a:custGeom>
          <a:avLst/>
          <a:gdLst/>
          <a:ahLst/>
          <a:cxnLst/>
          <a:rect l="0" t="0" r="0" b="0"/>
          <a:pathLst>
            <a:path>
              <a:moveTo>
                <a:pt x="45720" y="0"/>
              </a:moveTo>
              <a:lnTo>
                <a:pt x="45720" y="18120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0F0E1C-B6C6-CC4E-87D4-40151A5A5741}">
      <dsp:nvSpPr>
        <dsp:cNvPr id="0" name=""/>
        <dsp:cNvSpPr/>
      </dsp:nvSpPr>
      <dsp:spPr>
        <a:xfrm>
          <a:off x="696900" y="1702267"/>
          <a:ext cx="380747" cy="181201"/>
        </a:xfrm>
        <a:custGeom>
          <a:avLst/>
          <a:gdLst/>
          <a:ahLst/>
          <a:cxnLst/>
          <a:rect l="0" t="0" r="0" b="0"/>
          <a:pathLst>
            <a:path>
              <a:moveTo>
                <a:pt x="0" y="0"/>
              </a:moveTo>
              <a:lnTo>
                <a:pt x="0" y="123483"/>
              </a:lnTo>
              <a:lnTo>
                <a:pt x="380747" y="123483"/>
              </a:lnTo>
              <a:lnTo>
                <a:pt x="380747"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1C612FC-DDE7-814F-A6AA-E5AADF8E6341}">
      <dsp:nvSpPr>
        <dsp:cNvPr id="0" name=""/>
        <dsp:cNvSpPr/>
      </dsp:nvSpPr>
      <dsp:spPr>
        <a:xfrm>
          <a:off x="316152" y="1702267"/>
          <a:ext cx="380747" cy="181201"/>
        </a:xfrm>
        <a:custGeom>
          <a:avLst/>
          <a:gdLst/>
          <a:ahLst/>
          <a:cxnLst/>
          <a:rect l="0" t="0" r="0" b="0"/>
          <a:pathLst>
            <a:path>
              <a:moveTo>
                <a:pt x="380747" y="0"/>
              </a:moveTo>
              <a:lnTo>
                <a:pt x="380747" y="123483"/>
              </a:lnTo>
              <a:lnTo>
                <a:pt x="0" y="123483"/>
              </a:lnTo>
              <a:lnTo>
                <a:pt x="0" y="1812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1A6E98-1F0A-634B-AE7C-33D9A759F59D}">
      <dsp:nvSpPr>
        <dsp:cNvPr id="0" name=""/>
        <dsp:cNvSpPr/>
      </dsp:nvSpPr>
      <dsp:spPr>
        <a:xfrm>
          <a:off x="696900" y="1125435"/>
          <a:ext cx="1903736" cy="181201"/>
        </a:xfrm>
        <a:custGeom>
          <a:avLst/>
          <a:gdLst/>
          <a:ahLst/>
          <a:cxnLst/>
          <a:rect l="0" t="0" r="0" b="0"/>
          <a:pathLst>
            <a:path>
              <a:moveTo>
                <a:pt x="1903736" y="0"/>
              </a:moveTo>
              <a:lnTo>
                <a:pt x="1903736" y="123483"/>
              </a:lnTo>
              <a:lnTo>
                <a:pt x="0" y="123483"/>
              </a:lnTo>
              <a:lnTo>
                <a:pt x="0" y="18120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C08D99-C773-FA47-A821-1F667772F94A}">
      <dsp:nvSpPr>
        <dsp:cNvPr id="0" name=""/>
        <dsp:cNvSpPr/>
      </dsp:nvSpPr>
      <dsp:spPr>
        <a:xfrm>
          <a:off x="2289116" y="729804"/>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DE1DB1B-565D-4447-A436-D4313FE02C4F}">
      <dsp:nvSpPr>
        <dsp:cNvPr id="0" name=""/>
        <dsp:cNvSpPr/>
      </dsp:nvSpPr>
      <dsp:spPr>
        <a:xfrm>
          <a:off x="2358342" y="795570"/>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Indian Debt Markets</a:t>
          </a:r>
        </a:p>
      </dsp:txBody>
      <dsp:txXfrm>
        <a:off x="2369930" y="807158"/>
        <a:ext cx="599865" cy="372455"/>
      </dsp:txXfrm>
    </dsp:sp>
    <dsp:sp modelId="{D8FF1C64-B78F-164E-B0C2-FAAFD8C40BFA}">
      <dsp:nvSpPr>
        <dsp:cNvPr id="0" name=""/>
        <dsp:cNvSpPr/>
      </dsp:nvSpPr>
      <dsp:spPr>
        <a:xfrm>
          <a:off x="385379" y="1306636"/>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8504EA-CDF8-F141-BD5A-A1A2D96BCB9B}">
      <dsp:nvSpPr>
        <dsp:cNvPr id="0" name=""/>
        <dsp:cNvSpPr/>
      </dsp:nvSpPr>
      <dsp:spPr>
        <a:xfrm>
          <a:off x="454606" y="1372402"/>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Sovereign Debt</a:t>
          </a:r>
        </a:p>
      </dsp:txBody>
      <dsp:txXfrm>
        <a:off x="466194" y="1383990"/>
        <a:ext cx="599865" cy="372455"/>
      </dsp:txXfrm>
    </dsp:sp>
    <dsp:sp modelId="{96B0893E-6B6D-2D4A-9FCE-DCE157E74915}">
      <dsp:nvSpPr>
        <dsp:cNvPr id="0" name=""/>
        <dsp:cNvSpPr/>
      </dsp:nvSpPr>
      <dsp:spPr>
        <a:xfrm>
          <a:off x="4632"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A1EDD88-213E-FA41-AC0D-2B1B7A6B910E}">
      <dsp:nvSpPr>
        <dsp:cNvPr id="0" name=""/>
        <dsp:cNvSpPr/>
      </dsp:nvSpPr>
      <dsp:spPr>
        <a:xfrm>
          <a:off x="73859"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Central Government Debt</a:t>
          </a:r>
        </a:p>
      </dsp:txBody>
      <dsp:txXfrm>
        <a:off x="85447" y="1960822"/>
        <a:ext cx="599865" cy="372455"/>
      </dsp:txXfrm>
    </dsp:sp>
    <dsp:sp modelId="{DD7CEACB-42B5-CA4F-9F43-CE83325E1D91}">
      <dsp:nvSpPr>
        <dsp:cNvPr id="0" name=""/>
        <dsp:cNvSpPr/>
      </dsp:nvSpPr>
      <dsp:spPr>
        <a:xfrm>
          <a:off x="766126"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92F4FB6-3433-4248-AA11-B073A445B2AE}">
      <dsp:nvSpPr>
        <dsp:cNvPr id="0" name=""/>
        <dsp:cNvSpPr/>
      </dsp:nvSpPr>
      <dsp:spPr>
        <a:xfrm>
          <a:off x="835353"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State Government Debt</a:t>
          </a:r>
        </a:p>
      </dsp:txBody>
      <dsp:txXfrm>
        <a:off x="846941" y="1960822"/>
        <a:ext cx="599865" cy="372455"/>
      </dsp:txXfrm>
    </dsp:sp>
    <dsp:sp modelId="{83D4551E-74C5-F743-96EE-960CC6732DAB}">
      <dsp:nvSpPr>
        <dsp:cNvPr id="0" name=""/>
        <dsp:cNvSpPr/>
      </dsp:nvSpPr>
      <dsp:spPr>
        <a:xfrm>
          <a:off x="2289116" y="1306636"/>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34BAE2A-8185-BB4C-91B4-952DBA61A5EA}">
      <dsp:nvSpPr>
        <dsp:cNvPr id="0" name=""/>
        <dsp:cNvSpPr/>
      </dsp:nvSpPr>
      <dsp:spPr>
        <a:xfrm>
          <a:off x="2358342" y="1372402"/>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Public Sector Debt</a:t>
          </a:r>
        </a:p>
      </dsp:txBody>
      <dsp:txXfrm>
        <a:off x="2369930" y="1383990"/>
        <a:ext cx="599865" cy="372455"/>
      </dsp:txXfrm>
    </dsp:sp>
    <dsp:sp modelId="{C4BA3399-98F3-E242-B9E5-2DE141EEBAC8}">
      <dsp:nvSpPr>
        <dsp:cNvPr id="0" name=""/>
        <dsp:cNvSpPr/>
      </dsp:nvSpPr>
      <dsp:spPr>
        <a:xfrm>
          <a:off x="1527621"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B211F1-74E1-1D4B-ACF8-C221C60BC341}">
      <dsp:nvSpPr>
        <dsp:cNvPr id="0" name=""/>
        <dsp:cNvSpPr/>
      </dsp:nvSpPr>
      <dsp:spPr>
        <a:xfrm>
          <a:off x="1596848"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Quasi-governmental Debt</a:t>
          </a:r>
        </a:p>
      </dsp:txBody>
      <dsp:txXfrm>
        <a:off x="1608436" y="1960822"/>
        <a:ext cx="599865" cy="372455"/>
      </dsp:txXfrm>
    </dsp:sp>
    <dsp:sp modelId="{68B57A66-8B0A-5049-BE17-AA91229EE38B}">
      <dsp:nvSpPr>
        <dsp:cNvPr id="0" name=""/>
        <dsp:cNvSpPr/>
      </dsp:nvSpPr>
      <dsp:spPr>
        <a:xfrm>
          <a:off x="2289116"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6D6945-0C6F-D747-BB32-1293FA4B84CF}">
      <dsp:nvSpPr>
        <dsp:cNvPr id="0" name=""/>
        <dsp:cNvSpPr/>
      </dsp:nvSpPr>
      <dsp:spPr>
        <a:xfrm>
          <a:off x="2358342"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PSU Debt</a:t>
          </a:r>
        </a:p>
      </dsp:txBody>
      <dsp:txXfrm>
        <a:off x="2369930" y="1960822"/>
        <a:ext cx="599865" cy="372455"/>
      </dsp:txXfrm>
    </dsp:sp>
    <dsp:sp modelId="{896E6D27-BC39-0A42-8CBA-742DDF7F961D}">
      <dsp:nvSpPr>
        <dsp:cNvPr id="0" name=""/>
        <dsp:cNvSpPr/>
      </dsp:nvSpPr>
      <dsp:spPr>
        <a:xfrm>
          <a:off x="3050610"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B80C4DA-A6EC-CD48-B549-F19AC7F7563F}">
      <dsp:nvSpPr>
        <dsp:cNvPr id="0" name=""/>
        <dsp:cNvSpPr/>
      </dsp:nvSpPr>
      <dsp:spPr>
        <a:xfrm>
          <a:off x="3119837"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Public Bank / FI Debt</a:t>
          </a:r>
        </a:p>
      </dsp:txBody>
      <dsp:txXfrm>
        <a:off x="3131425" y="1960822"/>
        <a:ext cx="599865" cy="372455"/>
      </dsp:txXfrm>
    </dsp:sp>
    <dsp:sp modelId="{59BA0A8C-9F06-A843-ABB4-B60F9122912F}">
      <dsp:nvSpPr>
        <dsp:cNvPr id="0" name=""/>
        <dsp:cNvSpPr/>
      </dsp:nvSpPr>
      <dsp:spPr>
        <a:xfrm>
          <a:off x="4192852" y="1306636"/>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F513EC2-002B-D840-818A-9E8D0C56A908}">
      <dsp:nvSpPr>
        <dsp:cNvPr id="0" name=""/>
        <dsp:cNvSpPr/>
      </dsp:nvSpPr>
      <dsp:spPr>
        <a:xfrm>
          <a:off x="4262079" y="1372402"/>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Private Sector Debt</a:t>
          </a:r>
        </a:p>
      </dsp:txBody>
      <dsp:txXfrm>
        <a:off x="4273667" y="1383990"/>
        <a:ext cx="599865" cy="372455"/>
      </dsp:txXfrm>
    </dsp:sp>
    <dsp:sp modelId="{761ED346-9ABB-0C4D-8C5C-3DB683FBDE66}">
      <dsp:nvSpPr>
        <dsp:cNvPr id="0" name=""/>
        <dsp:cNvSpPr/>
      </dsp:nvSpPr>
      <dsp:spPr>
        <a:xfrm>
          <a:off x="3812105"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05AB5FB-59F5-6C4A-93BB-5042A4E47126}">
      <dsp:nvSpPr>
        <dsp:cNvPr id="0" name=""/>
        <dsp:cNvSpPr/>
      </dsp:nvSpPr>
      <dsp:spPr>
        <a:xfrm>
          <a:off x="3881332"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Corporate Debt</a:t>
          </a:r>
        </a:p>
      </dsp:txBody>
      <dsp:txXfrm>
        <a:off x="3892920" y="1960822"/>
        <a:ext cx="599865" cy="372455"/>
      </dsp:txXfrm>
    </dsp:sp>
    <dsp:sp modelId="{876ED368-0F10-C74C-9DC6-8C3F2419BF45}">
      <dsp:nvSpPr>
        <dsp:cNvPr id="0" name=""/>
        <dsp:cNvSpPr/>
      </dsp:nvSpPr>
      <dsp:spPr>
        <a:xfrm>
          <a:off x="4573599" y="1883468"/>
          <a:ext cx="623041" cy="39563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D2FCB7-DEB7-7C48-86A9-C7920888EA93}">
      <dsp:nvSpPr>
        <dsp:cNvPr id="0" name=""/>
        <dsp:cNvSpPr/>
      </dsp:nvSpPr>
      <dsp:spPr>
        <a:xfrm>
          <a:off x="4642826" y="1949234"/>
          <a:ext cx="623041" cy="3956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Private Bank / FI Debt</a:t>
          </a:r>
        </a:p>
      </dsp:txBody>
      <dsp:txXfrm>
        <a:off x="4654414" y="1960822"/>
        <a:ext cx="599865" cy="3724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3C9B-310A-40CD-ABEF-672935E1B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3339</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Write Karma</Company>
  <LinksUpToDate>false</LinksUpToDate>
  <CharactersWithSpaces>22328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Dharmil Adhyaru</dc:creator>
  <cp:lastModifiedBy>Satish</cp:lastModifiedBy>
  <cp:revision>2</cp:revision>
  <dcterms:created xsi:type="dcterms:W3CDTF">2015-11-15T06:05:00Z</dcterms:created>
  <dcterms:modified xsi:type="dcterms:W3CDTF">2015-11-15T06:05:00Z</dcterms:modified>
</cp:coreProperties>
</file>