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1A2AE" w14:textId="244BE650" w:rsidR="00F4323D" w:rsidRPr="00F5145E" w:rsidRDefault="004A59CF" w:rsidP="00F4323D">
      <w:pPr>
        <w:spacing w:after="200" w:line="276" w:lineRule="auto"/>
        <w:jc w:val="center"/>
        <w:rPr>
          <w:rFonts w:asciiTheme="majorHAnsi" w:hAnsiTheme="majorHAnsi"/>
          <w:b/>
          <w:sz w:val="28"/>
          <w:szCs w:val="22"/>
        </w:rPr>
      </w:pPr>
      <w:bookmarkStart w:id="0" w:name="_GoBack"/>
      <w:bookmarkEnd w:id="0"/>
      <w:r>
        <w:rPr>
          <w:rFonts w:asciiTheme="majorHAnsi" w:hAnsiTheme="majorHAnsi"/>
          <w:b/>
          <w:sz w:val="28"/>
          <w:szCs w:val="22"/>
        </w:rPr>
        <w:t xml:space="preserve">Monetary Policy and </w:t>
      </w:r>
      <w:proofErr w:type="gramStart"/>
      <w:r w:rsidR="00F4323D" w:rsidRPr="00F5145E">
        <w:rPr>
          <w:rFonts w:asciiTheme="majorHAnsi" w:hAnsiTheme="majorHAnsi"/>
          <w:b/>
          <w:sz w:val="28"/>
          <w:szCs w:val="22"/>
        </w:rPr>
        <w:t>The</w:t>
      </w:r>
      <w:proofErr w:type="gramEnd"/>
      <w:r w:rsidR="00F4323D" w:rsidRPr="00F5145E">
        <w:rPr>
          <w:rFonts w:asciiTheme="majorHAnsi" w:hAnsiTheme="majorHAnsi"/>
          <w:b/>
          <w:sz w:val="28"/>
          <w:szCs w:val="22"/>
        </w:rPr>
        <w:t xml:space="preserve"> Reserve Bank of India (RBI)</w:t>
      </w:r>
    </w:p>
    <w:p w14:paraId="04EAD19E" w14:textId="77777777" w:rsidR="00F4323D" w:rsidRDefault="00F4323D" w:rsidP="00F4323D">
      <w:pPr>
        <w:spacing w:after="200" w:line="276" w:lineRule="auto"/>
        <w:jc w:val="center"/>
        <w:rPr>
          <w:rFonts w:asciiTheme="majorHAnsi" w:hAnsiTheme="majorHAnsi"/>
          <w:b/>
          <w:sz w:val="22"/>
          <w:szCs w:val="22"/>
        </w:rPr>
      </w:pPr>
      <w:r>
        <w:rPr>
          <w:rFonts w:asciiTheme="majorHAnsi" w:hAnsiTheme="majorHAnsi"/>
          <w:b/>
          <w:sz w:val="22"/>
          <w:szCs w:val="22"/>
        </w:rPr>
        <w:t>Table of Contents</w:t>
      </w:r>
    </w:p>
    <w:p w14:paraId="2EA3BFB1" w14:textId="77777777" w:rsidR="00E34E44" w:rsidRDefault="00FB6792">
      <w:pPr>
        <w:pStyle w:val="TOC2"/>
        <w:tabs>
          <w:tab w:val="right" w:pos="8290"/>
        </w:tabs>
        <w:rPr>
          <w:b w:val="0"/>
          <w:noProof/>
          <w:sz w:val="24"/>
          <w:szCs w:val="24"/>
          <w:lang w:eastAsia="ja-JP"/>
        </w:rPr>
      </w:pPr>
      <w:r>
        <w:rPr>
          <w:rFonts w:asciiTheme="majorHAnsi" w:hAnsiTheme="majorHAnsi"/>
          <w:b w:val="0"/>
          <w:sz w:val="22"/>
          <w:szCs w:val="22"/>
        </w:rPr>
        <w:fldChar w:fldCharType="begin"/>
      </w:r>
      <w:r>
        <w:rPr>
          <w:rFonts w:asciiTheme="majorHAnsi" w:hAnsiTheme="majorHAnsi"/>
          <w:b w:val="0"/>
          <w:sz w:val="22"/>
          <w:szCs w:val="22"/>
        </w:rPr>
        <w:instrText xml:space="preserve"> TOC \o "1-3" </w:instrText>
      </w:r>
      <w:r>
        <w:rPr>
          <w:rFonts w:asciiTheme="majorHAnsi" w:hAnsiTheme="majorHAnsi"/>
          <w:b w:val="0"/>
          <w:sz w:val="22"/>
          <w:szCs w:val="22"/>
        </w:rPr>
        <w:fldChar w:fldCharType="separate"/>
      </w:r>
      <w:r w:rsidR="00E34E44">
        <w:rPr>
          <w:noProof/>
        </w:rPr>
        <w:t>Banker and Debt Manager to the government</w:t>
      </w:r>
      <w:r w:rsidR="00E34E44">
        <w:rPr>
          <w:noProof/>
        </w:rPr>
        <w:tab/>
      </w:r>
      <w:r w:rsidR="00E34E44">
        <w:rPr>
          <w:noProof/>
        </w:rPr>
        <w:fldChar w:fldCharType="begin"/>
      </w:r>
      <w:r w:rsidR="00E34E44">
        <w:rPr>
          <w:noProof/>
        </w:rPr>
        <w:instrText xml:space="preserve"> PAGEREF _Toc307682221 \h </w:instrText>
      </w:r>
      <w:r w:rsidR="00E34E44">
        <w:rPr>
          <w:noProof/>
        </w:rPr>
      </w:r>
      <w:r w:rsidR="00E34E44">
        <w:rPr>
          <w:noProof/>
        </w:rPr>
        <w:fldChar w:fldCharType="separate"/>
      </w:r>
      <w:r w:rsidR="00E34E44">
        <w:rPr>
          <w:noProof/>
        </w:rPr>
        <w:t>2</w:t>
      </w:r>
      <w:r w:rsidR="00E34E44">
        <w:rPr>
          <w:noProof/>
        </w:rPr>
        <w:fldChar w:fldCharType="end"/>
      </w:r>
    </w:p>
    <w:p w14:paraId="5AFDC89C" w14:textId="77777777" w:rsidR="00E34E44" w:rsidRDefault="00E34E44">
      <w:pPr>
        <w:pStyle w:val="TOC2"/>
        <w:tabs>
          <w:tab w:val="right" w:pos="8290"/>
        </w:tabs>
        <w:rPr>
          <w:b w:val="0"/>
          <w:noProof/>
          <w:sz w:val="24"/>
          <w:szCs w:val="24"/>
          <w:lang w:eastAsia="ja-JP"/>
        </w:rPr>
      </w:pPr>
      <w:r>
        <w:rPr>
          <w:noProof/>
        </w:rPr>
        <w:t>Banker to the banks</w:t>
      </w:r>
      <w:r>
        <w:rPr>
          <w:noProof/>
        </w:rPr>
        <w:tab/>
      </w:r>
      <w:r>
        <w:rPr>
          <w:noProof/>
        </w:rPr>
        <w:fldChar w:fldCharType="begin"/>
      </w:r>
      <w:r>
        <w:rPr>
          <w:noProof/>
        </w:rPr>
        <w:instrText xml:space="preserve"> PAGEREF _Toc307682222 \h </w:instrText>
      </w:r>
      <w:r>
        <w:rPr>
          <w:noProof/>
        </w:rPr>
      </w:r>
      <w:r>
        <w:rPr>
          <w:noProof/>
        </w:rPr>
        <w:fldChar w:fldCharType="separate"/>
      </w:r>
      <w:r>
        <w:rPr>
          <w:noProof/>
        </w:rPr>
        <w:t>2</w:t>
      </w:r>
      <w:r>
        <w:rPr>
          <w:noProof/>
        </w:rPr>
        <w:fldChar w:fldCharType="end"/>
      </w:r>
    </w:p>
    <w:p w14:paraId="5505E44F" w14:textId="77777777" w:rsidR="00E34E44" w:rsidRDefault="00E34E44">
      <w:pPr>
        <w:pStyle w:val="TOC2"/>
        <w:tabs>
          <w:tab w:val="right" w:pos="8290"/>
        </w:tabs>
        <w:rPr>
          <w:b w:val="0"/>
          <w:noProof/>
          <w:sz w:val="24"/>
          <w:szCs w:val="24"/>
          <w:lang w:eastAsia="ja-JP"/>
        </w:rPr>
      </w:pPr>
      <w:r>
        <w:rPr>
          <w:noProof/>
        </w:rPr>
        <w:t>Issuer of Currency</w:t>
      </w:r>
      <w:r>
        <w:rPr>
          <w:noProof/>
        </w:rPr>
        <w:tab/>
      </w:r>
      <w:r>
        <w:rPr>
          <w:noProof/>
        </w:rPr>
        <w:fldChar w:fldCharType="begin"/>
      </w:r>
      <w:r>
        <w:rPr>
          <w:noProof/>
        </w:rPr>
        <w:instrText xml:space="preserve"> PAGEREF _Toc307682223 \h </w:instrText>
      </w:r>
      <w:r>
        <w:rPr>
          <w:noProof/>
        </w:rPr>
      </w:r>
      <w:r>
        <w:rPr>
          <w:noProof/>
        </w:rPr>
        <w:fldChar w:fldCharType="separate"/>
      </w:r>
      <w:r>
        <w:rPr>
          <w:noProof/>
        </w:rPr>
        <w:t>3</w:t>
      </w:r>
      <w:r>
        <w:rPr>
          <w:noProof/>
        </w:rPr>
        <w:fldChar w:fldCharType="end"/>
      </w:r>
    </w:p>
    <w:p w14:paraId="5E148A28" w14:textId="77777777" w:rsidR="00E34E44" w:rsidRDefault="00E34E44">
      <w:pPr>
        <w:pStyle w:val="TOC2"/>
        <w:tabs>
          <w:tab w:val="right" w:pos="8290"/>
        </w:tabs>
        <w:rPr>
          <w:b w:val="0"/>
          <w:noProof/>
          <w:sz w:val="24"/>
          <w:szCs w:val="24"/>
          <w:lang w:eastAsia="ja-JP"/>
        </w:rPr>
      </w:pPr>
      <w:r>
        <w:rPr>
          <w:noProof/>
        </w:rPr>
        <w:t>Monetary Policy</w:t>
      </w:r>
      <w:r>
        <w:rPr>
          <w:noProof/>
        </w:rPr>
        <w:tab/>
      </w:r>
      <w:r>
        <w:rPr>
          <w:noProof/>
        </w:rPr>
        <w:fldChar w:fldCharType="begin"/>
      </w:r>
      <w:r>
        <w:rPr>
          <w:noProof/>
        </w:rPr>
        <w:instrText xml:space="preserve"> PAGEREF _Toc307682224 \h </w:instrText>
      </w:r>
      <w:r>
        <w:rPr>
          <w:noProof/>
        </w:rPr>
      </w:r>
      <w:r>
        <w:rPr>
          <w:noProof/>
        </w:rPr>
        <w:fldChar w:fldCharType="separate"/>
      </w:r>
      <w:r>
        <w:rPr>
          <w:noProof/>
        </w:rPr>
        <w:t>3</w:t>
      </w:r>
      <w:r>
        <w:rPr>
          <w:noProof/>
        </w:rPr>
        <w:fldChar w:fldCharType="end"/>
      </w:r>
    </w:p>
    <w:p w14:paraId="55050A1B" w14:textId="77777777" w:rsidR="00E34E44" w:rsidRDefault="00E34E44">
      <w:pPr>
        <w:pStyle w:val="TOC3"/>
        <w:tabs>
          <w:tab w:val="right" w:pos="8290"/>
        </w:tabs>
        <w:rPr>
          <w:noProof/>
          <w:sz w:val="24"/>
          <w:szCs w:val="24"/>
          <w:lang w:eastAsia="ja-JP"/>
        </w:rPr>
      </w:pPr>
      <w:r>
        <w:rPr>
          <w:noProof/>
        </w:rPr>
        <w:t>Current Goals:</w:t>
      </w:r>
      <w:r>
        <w:rPr>
          <w:noProof/>
        </w:rPr>
        <w:tab/>
      </w:r>
      <w:r>
        <w:rPr>
          <w:noProof/>
        </w:rPr>
        <w:fldChar w:fldCharType="begin"/>
      </w:r>
      <w:r>
        <w:rPr>
          <w:noProof/>
        </w:rPr>
        <w:instrText xml:space="preserve"> PAGEREF _Toc307682225 \h </w:instrText>
      </w:r>
      <w:r>
        <w:rPr>
          <w:noProof/>
        </w:rPr>
      </w:r>
      <w:r>
        <w:rPr>
          <w:noProof/>
        </w:rPr>
        <w:fldChar w:fldCharType="separate"/>
      </w:r>
      <w:r>
        <w:rPr>
          <w:noProof/>
        </w:rPr>
        <w:t>3</w:t>
      </w:r>
      <w:r>
        <w:rPr>
          <w:noProof/>
        </w:rPr>
        <w:fldChar w:fldCharType="end"/>
      </w:r>
    </w:p>
    <w:p w14:paraId="3D618507" w14:textId="77777777" w:rsidR="00E34E44" w:rsidRDefault="00E34E44">
      <w:pPr>
        <w:pStyle w:val="TOC3"/>
        <w:tabs>
          <w:tab w:val="right" w:pos="8290"/>
        </w:tabs>
        <w:rPr>
          <w:noProof/>
          <w:sz w:val="24"/>
          <w:szCs w:val="24"/>
          <w:lang w:eastAsia="ja-JP"/>
        </w:rPr>
      </w:pPr>
      <w:r>
        <w:rPr>
          <w:noProof/>
        </w:rPr>
        <w:t>Process:</w:t>
      </w:r>
      <w:r>
        <w:rPr>
          <w:noProof/>
        </w:rPr>
        <w:tab/>
      </w:r>
      <w:r>
        <w:rPr>
          <w:noProof/>
        </w:rPr>
        <w:fldChar w:fldCharType="begin"/>
      </w:r>
      <w:r>
        <w:rPr>
          <w:noProof/>
        </w:rPr>
        <w:instrText xml:space="preserve"> PAGEREF _Toc307682226 \h </w:instrText>
      </w:r>
      <w:r>
        <w:rPr>
          <w:noProof/>
        </w:rPr>
      </w:r>
      <w:r>
        <w:rPr>
          <w:noProof/>
        </w:rPr>
        <w:fldChar w:fldCharType="separate"/>
      </w:r>
      <w:r>
        <w:rPr>
          <w:noProof/>
        </w:rPr>
        <w:t>3</w:t>
      </w:r>
      <w:r>
        <w:rPr>
          <w:noProof/>
        </w:rPr>
        <w:fldChar w:fldCharType="end"/>
      </w:r>
    </w:p>
    <w:p w14:paraId="61392180" w14:textId="77777777" w:rsidR="00E34E44" w:rsidRDefault="00E34E44">
      <w:pPr>
        <w:pStyle w:val="TOC3"/>
        <w:tabs>
          <w:tab w:val="right" w:pos="8290"/>
        </w:tabs>
        <w:rPr>
          <w:noProof/>
          <w:sz w:val="24"/>
          <w:szCs w:val="24"/>
          <w:lang w:eastAsia="ja-JP"/>
        </w:rPr>
      </w:pPr>
      <w:r>
        <w:rPr>
          <w:noProof/>
        </w:rPr>
        <w:t>Instruments:</w:t>
      </w:r>
      <w:r>
        <w:rPr>
          <w:noProof/>
        </w:rPr>
        <w:tab/>
      </w:r>
      <w:r>
        <w:rPr>
          <w:noProof/>
        </w:rPr>
        <w:fldChar w:fldCharType="begin"/>
      </w:r>
      <w:r>
        <w:rPr>
          <w:noProof/>
        </w:rPr>
        <w:instrText xml:space="preserve"> PAGEREF _Toc307682227 \h </w:instrText>
      </w:r>
      <w:r>
        <w:rPr>
          <w:noProof/>
        </w:rPr>
      </w:r>
      <w:r>
        <w:rPr>
          <w:noProof/>
        </w:rPr>
        <w:fldChar w:fldCharType="separate"/>
      </w:r>
      <w:r>
        <w:rPr>
          <w:noProof/>
        </w:rPr>
        <w:t>3</w:t>
      </w:r>
      <w:r>
        <w:rPr>
          <w:noProof/>
        </w:rPr>
        <w:fldChar w:fldCharType="end"/>
      </w:r>
    </w:p>
    <w:p w14:paraId="67C72209" w14:textId="77777777" w:rsidR="00E34E44" w:rsidRDefault="00E34E44">
      <w:pPr>
        <w:pStyle w:val="TOC3"/>
        <w:tabs>
          <w:tab w:val="right" w:pos="8290"/>
        </w:tabs>
        <w:rPr>
          <w:noProof/>
          <w:sz w:val="24"/>
          <w:szCs w:val="24"/>
          <w:lang w:eastAsia="ja-JP"/>
        </w:rPr>
      </w:pPr>
      <w:r>
        <w:rPr>
          <w:noProof/>
        </w:rPr>
        <w:t>Special instruments:</w:t>
      </w:r>
      <w:r>
        <w:rPr>
          <w:noProof/>
        </w:rPr>
        <w:tab/>
      </w:r>
      <w:r>
        <w:rPr>
          <w:noProof/>
        </w:rPr>
        <w:fldChar w:fldCharType="begin"/>
      </w:r>
      <w:r>
        <w:rPr>
          <w:noProof/>
        </w:rPr>
        <w:instrText xml:space="preserve"> PAGEREF _Toc307682228 \h </w:instrText>
      </w:r>
      <w:r>
        <w:rPr>
          <w:noProof/>
        </w:rPr>
      </w:r>
      <w:r>
        <w:rPr>
          <w:noProof/>
        </w:rPr>
        <w:fldChar w:fldCharType="separate"/>
      </w:r>
      <w:r>
        <w:rPr>
          <w:noProof/>
        </w:rPr>
        <w:t>5</w:t>
      </w:r>
      <w:r>
        <w:rPr>
          <w:noProof/>
        </w:rPr>
        <w:fldChar w:fldCharType="end"/>
      </w:r>
    </w:p>
    <w:p w14:paraId="5D719ABE" w14:textId="77777777" w:rsidR="00E34E44" w:rsidRDefault="00E34E44">
      <w:pPr>
        <w:pStyle w:val="TOC2"/>
        <w:tabs>
          <w:tab w:val="right" w:pos="8290"/>
        </w:tabs>
        <w:rPr>
          <w:b w:val="0"/>
          <w:noProof/>
          <w:sz w:val="24"/>
          <w:szCs w:val="24"/>
          <w:lang w:eastAsia="ja-JP"/>
        </w:rPr>
      </w:pPr>
      <w:r>
        <w:rPr>
          <w:noProof/>
        </w:rPr>
        <w:t>Foreign Exchange Management</w:t>
      </w:r>
      <w:r>
        <w:rPr>
          <w:noProof/>
        </w:rPr>
        <w:tab/>
      </w:r>
      <w:r>
        <w:rPr>
          <w:noProof/>
        </w:rPr>
        <w:fldChar w:fldCharType="begin"/>
      </w:r>
      <w:r>
        <w:rPr>
          <w:noProof/>
        </w:rPr>
        <w:instrText xml:space="preserve"> PAGEREF _Toc307682229 \h </w:instrText>
      </w:r>
      <w:r>
        <w:rPr>
          <w:noProof/>
        </w:rPr>
      </w:r>
      <w:r>
        <w:rPr>
          <w:noProof/>
        </w:rPr>
        <w:fldChar w:fldCharType="separate"/>
      </w:r>
      <w:r>
        <w:rPr>
          <w:noProof/>
        </w:rPr>
        <w:t>5</w:t>
      </w:r>
      <w:r>
        <w:rPr>
          <w:noProof/>
        </w:rPr>
        <w:fldChar w:fldCharType="end"/>
      </w:r>
    </w:p>
    <w:p w14:paraId="6A4A654E" w14:textId="77777777" w:rsidR="00E34E44" w:rsidRDefault="00E34E44">
      <w:pPr>
        <w:pStyle w:val="TOC2"/>
        <w:tabs>
          <w:tab w:val="right" w:pos="8290"/>
        </w:tabs>
        <w:rPr>
          <w:b w:val="0"/>
          <w:noProof/>
          <w:sz w:val="24"/>
          <w:szCs w:val="24"/>
          <w:lang w:eastAsia="ja-JP"/>
        </w:rPr>
      </w:pPr>
      <w:r>
        <w:rPr>
          <w:noProof/>
        </w:rPr>
        <w:t>Exchange Rate Policies in India</w:t>
      </w:r>
      <w:r>
        <w:rPr>
          <w:noProof/>
        </w:rPr>
        <w:tab/>
      </w:r>
      <w:r>
        <w:rPr>
          <w:noProof/>
        </w:rPr>
        <w:fldChar w:fldCharType="begin"/>
      </w:r>
      <w:r>
        <w:rPr>
          <w:noProof/>
        </w:rPr>
        <w:instrText xml:space="preserve"> PAGEREF _Toc307682230 \h </w:instrText>
      </w:r>
      <w:r>
        <w:rPr>
          <w:noProof/>
        </w:rPr>
      </w:r>
      <w:r>
        <w:rPr>
          <w:noProof/>
        </w:rPr>
        <w:fldChar w:fldCharType="separate"/>
      </w:r>
      <w:r>
        <w:rPr>
          <w:noProof/>
        </w:rPr>
        <w:t>6</w:t>
      </w:r>
      <w:r>
        <w:rPr>
          <w:noProof/>
        </w:rPr>
        <w:fldChar w:fldCharType="end"/>
      </w:r>
    </w:p>
    <w:p w14:paraId="431D4BF6" w14:textId="77777777" w:rsidR="00E34E44" w:rsidRDefault="00E34E44">
      <w:pPr>
        <w:pStyle w:val="TOC2"/>
        <w:tabs>
          <w:tab w:val="right" w:pos="8290"/>
        </w:tabs>
        <w:rPr>
          <w:b w:val="0"/>
          <w:noProof/>
          <w:sz w:val="24"/>
          <w:szCs w:val="24"/>
          <w:lang w:eastAsia="ja-JP"/>
        </w:rPr>
      </w:pPr>
      <w:r>
        <w:rPr>
          <w:noProof/>
        </w:rPr>
        <w:t>Payment and Settlement Systems</w:t>
      </w:r>
      <w:r>
        <w:rPr>
          <w:noProof/>
        </w:rPr>
        <w:tab/>
      </w:r>
      <w:r>
        <w:rPr>
          <w:noProof/>
        </w:rPr>
        <w:fldChar w:fldCharType="begin"/>
      </w:r>
      <w:r>
        <w:rPr>
          <w:noProof/>
        </w:rPr>
        <w:instrText xml:space="preserve"> PAGEREF _Toc307682231 \h </w:instrText>
      </w:r>
      <w:r>
        <w:rPr>
          <w:noProof/>
        </w:rPr>
      </w:r>
      <w:r>
        <w:rPr>
          <w:noProof/>
        </w:rPr>
        <w:fldChar w:fldCharType="separate"/>
      </w:r>
      <w:r>
        <w:rPr>
          <w:noProof/>
        </w:rPr>
        <w:t>6</w:t>
      </w:r>
      <w:r>
        <w:rPr>
          <w:noProof/>
        </w:rPr>
        <w:fldChar w:fldCharType="end"/>
      </w:r>
    </w:p>
    <w:p w14:paraId="55F7E20D" w14:textId="77777777" w:rsidR="00E34E44" w:rsidRDefault="00E34E44">
      <w:pPr>
        <w:pStyle w:val="TOC2"/>
        <w:tabs>
          <w:tab w:val="right" w:pos="8290"/>
        </w:tabs>
        <w:rPr>
          <w:b w:val="0"/>
          <w:noProof/>
          <w:sz w:val="24"/>
          <w:szCs w:val="24"/>
          <w:lang w:eastAsia="ja-JP"/>
        </w:rPr>
      </w:pPr>
      <w:r>
        <w:rPr>
          <w:noProof/>
        </w:rPr>
        <w:t>Appendices</w:t>
      </w:r>
      <w:r>
        <w:rPr>
          <w:noProof/>
        </w:rPr>
        <w:tab/>
      </w:r>
      <w:r>
        <w:rPr>
          <w:noProof/>
        </w:rPr>
        <w:fldChar w:fldCharType="begin"/>
      </w:r>
      <w:r>
        <w:rPr>
          <w:noProof/>
        </w:rPr>
        <w:instrText xml:space="preserve"> PAGEREF _Toc307682232 \h </w:instrText>
      </w:r>
      <w:r>
        <w:rPr>
          <w:noProof/>
        </w:rPr>
      </w:r>
      <w:r>
        <w:rPr>
          <w:noProof/>
        </w:rPr>
        <w:fldChar w:fldCharType="separate"/>
      </w:r>
      <w:r>
        <w:rPr>
          <w:noProof/>
        </w:rPr>
        <w:t>9</w:t>
      </w:r>
      <w:r>
        <w:rPr>
          <w:noProof/>
        </w:rPr>
        <w:fldChar w:fldCharType="end"/>
      </w:r>
    </w:p>
    <w:p w14:paraId="21A7E3B7" w14:textId="77777777" w:rsidR="00E34E44" w:rsidRDefault="00E34E44">
      <w:pPr>
        <w:pStyle w:val="TOC2"/>
        <w:tabs>
          <w:tab w:val="right" w:pos="8290"/>
        </w:tabs>
        <w:rPr>
          <w:b w:val="0"/>
          <w:noProof/>
          <w:sz w:val="24"/>
          <w:szCs w:val="24"/>
          <w:lang w:eastAsia="ja-JP"/>
        </w:rPr>
      </w:pPr>
      <w:r>
        <w:rPr>
          <w:noProof/>
        </w:rPr>
        <w:t>References:</w:t>
      </w:r>
      <w:r>
        <w:rPr>
          <w:noProof/>
        </w:rPr>
        <w:tab/>
      </w:r>
      <w:r>
        <w:rPr>
          <w:noProof/>
        </w:rPr>
        <w:fldChar w:fldCharType="begin"/>
      </w:r>
      <w:r>
        <w:rPr>
          <w:noProof/>
        </w:rPr>
        <w:instrText xml:space="preserve"> PAGEREF _Toc307682233 \h </w:instrText>
      </w:r>
      <w:r>
        <w:rPr>
          <w:noProof/>
        </w:rPr>
      </w:r>
      <w:r>
        <w:rPr>
          <w:noProof/>
        </w:rPr>
        <w:fldChar w:fldCharType="separate"/>
      </w:r>
      <w:r>
        <w:rPr>
          <w:noProof/>
        </w:rPr>
        <w:t>16</w:t>
      </w:r>
      <w:r>
        <w:rPr>
          <w:noProof/>
        </w:rPr>
        <w:fldChar w:fldCharType="end"/>
      </w:r>
    </w:p>
    <w:p w14:paraId="79169378" w14:textId="77777777" w:rsidR="0061541C" w:rsidRDefault="00FB6792" w:rsidP="0061541C">
      <w:pPr>
        <w:spacing w:after="200" w:line="276" w:lineRule="auto"/>
        <w:rPr>
          <w:rFonts w:asciiTheme="majorHAnsi" w:hAnsiTheme="majorHAnsi"/>
          <w:b/>
          <w:sz w:val="22"/>
          <w:szCs w:val="22"/>
        </w:rPr>
      </w:pPr>
      <w:r>
        <w:rPr>
          <w:rFonts w:asciiTheme="majorHAnsi" w:hAnsiTheme="majorHAnsi"/>
          <w:b/>
          <w:sz w:val="22"/>
          <w:szCs w:val="22"/>
        </w:rPr>
        <w:fldChar w:fldCharType="end"/>
      </w:r>
    </w:p>
    <w:p w14:paraId="5127ADA3" w14:textId="77777777" w:rsidR="004025D9" w:rsidRDefault="004025D9">
      <w:pPr>
        <w:rPr>
          <w:rFonts w:asciiTheme="majorHAnsi" w:hAnsiTheme="majorHAnsi"/>
          <w:b/>
          <w:sz w:val="22"/>
          <w:szCs w:val="22"/>
        </w:rPr>
      </w:pPr>
    </w:p>
    <w:p w14:paraId="27C1C2A2" w14:textId="77777777" w:rsidR="00CC4D0C" w:rsidRDefault="00CC4D0C" w:rsidP="0061541C">
      <w:pPr>
        <w:rPr>
          <w:rFonts w:asciiTheme="majorHAnsi" w:hAnsiTheme="majorHAnsi"/>
          <w:b/>
          <w:szCs w:val="22"/>
        </w:rPr>
      </w:pPr>
      <w:r>
        <w:rPr>
          <w:rFonts w:asciiTheme="majorHAnsi" w:hAnsiTheme="majorHAnsi"/>
          <w:b/>
          <w:szCs w:val="22"/>
        </w:rPr>
        <w:br w:type="page"/>
      </w:r>
    </w:p>
    <w:p w14:paraId="07617F78" w14:textId="78A9DE4A" w:rsidR="006461C0" w:rsidRPr="00367460" w:rsidRDefault="006461C0" w:rsidP="0026341D">
      <w:pPr>
        <w:pStyle w:val="Heading2"/>
        <w:spacing w:before="0" w:after="120"/>
      </w:pPr>
      <w:bookmarkStart w:id="1" w:name="_Toc307682221"/>
      <w:r w:rsidRPr="00367460">
        <w:lastRenderedPageBreak/>
        <w:t>Banker and Debt Manager to the government</w:t>
      </w:r>
      <w:bookmarkEnd w:id="1"/>
    </w:p>
    <w:p w14:paraId="2221E6DA" w14:textId="2C32C7A3" w:rsidR="008954F2" w:rsidRDefault="006461C0" w:rsidP="00AF281A">
      <w:pPr>
        <w:spacing w:after="200" w:line="276" w:lineRule="auto"/>
        <w:rPr>
          <w:rFonts w:asciiTheme="majorHAnsi" w:hAnsiTheme="majorHAnsi"/>
          <w:sz w:val="22"/>
          <w:szCs w:val="22"/>
        </w:rPr>
      </w:pPr>
      <w:r>
        <w:rPr>
          <w:rFonts w:asciiTheme="majorHAnsi" w:hAnsiTheme="majorHAnsi"/>
          <w:sz w:val="22"/>
          <w:szCs w:val="22"/>
        </w:rPr>
        <w:t xml:space="preserve">The RBI </w:t>
      </w:r>
      <w:r w:rsidR="00BB5B68">
        <w:rPr>
          <w:rFonts w:asciiTheme="majorHAnsi" w:hAnsiTheme="majorHAnsi"/>
          <w:sz w:val="22"/>
          <w:szCs w:val="22"/>
        </w:rPr>
        <w:t>was formed under the Reserve Bank of India Act, 1934, and undertakes the traditional central ba</w:t>
      </w:r>
      <w:r w:rsidR="009B6D0D">
        <w:rPr>
          <w:rFonts w:asciiTheme="majorHAnsi" w:hAnsiTheme="majorHAnsi"/>
          <w:sz w:val="22"/>
          <w:szCs w:val="22"/>
        </w:rPr>
        <w:t>nking function of managing the G</w:t>
      </w:r>
      <w:r w:rsidR="00BB5B68">
        <w:rPr>
          <w:rFonts w:asciiTheme="majorHAnsi" w:hAnsiTheme="majorHAnsi"/>
          <w:sz w:val="22"/>
          <w:szCs w:val="22"/>
        </w:rPr>
        <w:t xml:space="preserve">overnment’s banking activities. </w:t>
      </w:r>
      <w:r w:rsidR="0000323C">
        <w:rPr>
          <w:rFonts w:asciiTheme="majorHAnsi" w:hAnsiTheme="majorHAnsi"/>
          <w:sz w:val="22"/>
          <w:szCs w:val="22"/>
        </w:rPr>
        <w:t>Thus, the RBI manages the</w:t>
      </w:r>
      <w:r w:rsidR="008954F2">
        <w:rPr>
          <w:rFonts w:asciiTheme="majorHAnsi" w:hAnsiTheme="majorHAnsi"/>
          <w:sz w:val="22"/>
          <w:szCs w:val="22"/>
        </w:rPr>
        <w:t xml:space="preserve"> Central G</w:t>
      </w:r>
      <w:r w:rsidR="00FE0698">
        <w:rPr>
          <w:rFonts w:asciiTheme="majorHAnsi" w:hAnsiTheme="majorHAnsi"/>
          <w:sz w:val="22"/>
          <w:szCs w:val="22"/>
        </w:rPr>
        <w:t xml:space="preserve">overnment’s money, remittance, exchange and banking transactions, and its public debt. </w:t>
      </w:r>
      <w:r w:rsidR="00806250">
        <w:rPr>
          <w:rFonts w:asciiTheme="majorHAnsi" w:hAnsiTheme="majorHAnsi"/>
          <w:sz w:val="22"/>
          <w:szCs w:val="22"/>
        </w:rPr>
        <w:t>The RBI does not handle the Government’s day-to-day t</w:t>
      </w:r>
      <w:r w:rsidR="00CC6F6E">
        <w:rPr>
          <w:rFonts w:asciiTheme="majorHAnsi" w:hAnsiTheme="majorHAnsi"/>
          <w:sz w:val="22"/>
          <w:szCs w:val="22"/>
        </w:rPr>
        <w:t>ransactions, except in the case where it has been specifically nominated as the banker to a specific ministry</w:t>
      </w:r>
      <w:r w:rsidR="001C2984">
        <w:rPr>
          <w:rFonts w:asciiTheme="majorHAnsi" w:hAnsiTheme="majorHAnsi"/>
          <w:sz w:val="22"/>
          <w:szCs w:val="22"/>
        </w:rPr>
        <w:t>.</w:t>
      </w:r>
      <w:r w:rsidR="00CC6F6E">
        <w:rPr>
          <w:rFonts w:asciiTheme="majorHAnsi" w:hAnsiTheme="majorHAnsi"/>
          <w:sz w:val="22"/>
          <w:szCs w:val="22"/>
        </w:rPr>
        <w:t xml:space="preserve"> </w:t>
      </w:r>
      <w:r w:rsidR="008954F2">
        <w:rPr>
          <w:rFonts w:asciiTheme="majorHAnsi" w:hAnsiTheme="majorHAnsi"/>
          <w:sz w:val="22"/>
          <w:szCs w:val="22"/>
        </w:rPr>
        <w:t xml:space="preserve">Currently, the Central Government is required to </w:t>
      </w:r>
      <w:r w:rsidR="00660893">
        <w:rPr>
          <w:rFonts w:asciiTheme="majorHAnsi" w:hAnsiTheme="majorHAnsi"/>
          <w:sz w:val="22"/>
          <w:szCs w:val="22"/>
        </w:rPr>
        <w:t xml:space="preserve">maintain a minimum cash balance of INR 100 million (daily) and </w:t>
      </w:r>
      <w:r w:rsidR="00806250">
        <w:rPr>
          <w:rFonts w:asciiTheme="majorHAnsi" w:hAnsiTheme="majorHAnsi"/>
          <w:sz w:val="22"/>
          <w:szCs w:val="22"/>
        </w:rPr>
        <w:t xml:space="preserve">of </w:t>
      </w:r>
      <w:r w:rsidR="00660893">
        <w:rPr>
          <w:rFonts w:asciiTheme="majorHAnsi" w:hAnsiTheme="majorHAnsi"/>
          <w:sz w:val="22"/>
          <w:szCs w:val="22"/>
        </w:rPr>
        <w:t>INR 1 billion (</w:t>
      </w:r>
      <w:r w:rsidR="00CC6F6E">
        <w:rPr>
          <w:rFonts w:asciiTheme="majorHAnsi" w:hAnsiTheme="majorHAnsi"/>
          <w:sz w:val="22"/>
          <w:szCs w:val="22"/>
        </w:rPr>
        <w:t>on Fridays) with the RBI.</w:t>
      </w:r>
    </w:p>
    <w:p w14:paraId="0BD1FEF4" w14:textId="259F0EC7" w:rsidR="006461C0" w:rsidRDefault="00FE0698" w:rsidP="00AF281A">
      <w:pPr>
        <w:spacing w:after="200" w:line="276" w:lineRule="auto"/>
        <w:rPr>
          <w:rFonts w:asciiTheme="majorHAnsi" w:hAnsiTheme="majorHAnsi"/>
          <w:sz w:val="22"/>
          <w:szCs w:val="22"/>
        </w:rPr>
      </w:pPr>
      <w:r>
        <w:rPr>
          <w:rFonts w:asciiTheme="majorHAnsi" w:hAnsiTheme="majorHAnsi"/>
          <w:sz w:val="22"/>
          <w:szCs w:val="22"/>
        </w:rPr>
        <w:t xml:space="preserve">The RBI also acts as </w:t>
      </w:r>
      <w:r w:rsidR="008954F2">
        <w:rPr>
          <w:rFonts w:asciiTheme="majorHAnsi" w:hAnsiTheme="majorHAnsi"/>
          <w:sz w:val="22"/>
          <w:szCs w:val="22"/>
        </w:rPr>
        <w:t>the banker and debt manager of State G</w:t>
      </w:r>
      <w:r>
        <w:rPr>
          <w:rFonts w:asciiTheme="majorHAnsi" w:hAnsiTheme="majorHAnsi"/>
          <w:sz w:val="22"/>
          <w:szCs w:val="22"/>
        </w:rPr>
        <w:t>overnments in India (</w:t>
      </w:r>
      <w:r w:rsidR="00384CA3">
        <w:rPr>
          <w:rFonts w:asciiTheme="majorHAnsi" w:hAnsiTheme="majorHAnsi"/>
          <w:sz w:val="22"/>
          <w:szCs w:val="22"/>
        </w:rPr>
        <w:t>apart from the state of Sikkim, where it has a limited agreeme</w:t>
      </w:r>
      <w:r w:rsidR="008954F2">
        <w:rPr>
          <w:rFonts w:asciiTheme="majorHAnsi" w:hAnsiTheme="majorHAnsi"/>
          <w:sz w:val="22"/>
          <w:szCs w:val="22"/>
        </w:rPr>
        <w:t>nt for public debt management).</w:t>
      </w:r>
      <w:r w:rsidR="00DF3A06">
        <w:rPr>
          <w:rFonts w:asciiTheme="majorHAnsi" w:hAnsiTheme="majorHAnsi"/>
          <w:sz w:val="22"/>
          <w:szCs w:val="22"/>
        </w:rPr>
        <w:t xml:space="preserve"> As with the Central Government, all State Governments are required to maintain a minimum balance with the RBI, though this limit varies </w:t>
      </w:r>
      <w:r w:rsidR="00FC4768">
        <w:rPr>
          <w:rFonts w:asciiTheme="majorHAnsi" w:hAnsiTheme="majorHAnsi"/>
          <w:sz w:val="22"/>
          <w:szCs w:val="22"/>
        </w:rPr>
        <w:t xml:space="preserve">from state to state (based on the economic activity and size of budget of the state). </w:t>
      </w:r>
    </w:p>
    <w:p w14:paraId="63714CD9" w14:textId="1F78F1EF" w:rsidR="000324D6" w:rsidRDefault="000324D6" w:rsidP="00AF281A">
      <w:pPr>
        <w:spacing w:after="200" w:line="276" w:lineRule="auto"/>
        <w:rPr>
          <w:rFonts w:asciiTheme="majorHAnsi" w:hAnsiTheme="majorHAnsi"/>
          <w:sz w:val="22"/>
          <w:szCs w:val="22"/>
        </w:rPr>
      </w:pPr>
      <w:r w:rsidRPr="004A070C">
        <w:rPr>
          <w:rFonts w:asciiTheme="majorHAnsi" w:hAnsiTheme="majorHAnsi"/>
          <w:i/>
          <w:sz w:val="22"/>
          <w:szCs w:val="22"/>
        </w:rPr>
        <w:t>Management of public debt:</w:t>
      </w:r>
      <w:r>
        <w:rPr>
          <w:rFonts w:asciiTheme="majorHAnsi" w:hAnsiTheme="majorHAnsi"/>
          <w:sz w:val="22"/>
          <w:szCs w:val="22"/>
        </w:rPr>
        <w:t xml:space="preserve"> The RBI is singularly responsible for managing the public debt of the Central Government as well as that of State Governments. </w:t>
      </w:r>
      <w:r w:rsidR="00B81273">
        <w:rPr>
          <w:rFonts w:asciiTheme="majorHAnsi" w:hAnsiTheme="majorHAnsi"/>
          <w:sz w:val="22"/>
          <w:szCs w:val="22"/>
        </w:rPr>
        <w:t>Its responsibilities include: 1) issue of new rupee loans (primarily through Government Sec</w:t>
      </w:r>
      <w:r w:rsidR="006848EB">
        <w:rPr>
          <w:rFonts w:asciiTheme="majorHAnsi" w:hAnsiTheme="majorHAnsi"/>
          <w:sz w:val="22"/>
          <w:szCs w:val="22"/>
        </w:rPr>
        <w:t>urities and Treasury Bills), 2) payment of interest and repayment of principal on existing loans, and 3) operational matters such as issuing and registering debt certificates.</w:t>
      </w:r>
    </w:p>
    <w:p w14:paraId="549AE935" w14:textId="29E7A015" w:rsidR="00F47E52" w:rsidRPr="0026341D" w:rsidRDefault="00F47E52" w:rsidP="0026341D">
      <w:pPr>
        <w:pStyle w:val="Heading2"/>
        <w:spacing w:before="0" w:after="120"/>
      </w:pPr>
      <w:bookmarkStart w:id="2" w:name="_Toc307682222"/>
      <w:r w:rsidRPr="0026341D">
        <w:t>Banker to the banks</w:t>
      </w:r>
      <w:bookmarkEnd w:id="2"/>
    </w:p>
    <w:p w14:paraId="634111C5" w14:textId="232FBFF7" w:rsidR="006D06D5" w:rsidRDefault="00A361D6" w:rsidP="00AF281A">
      <w:pPr>
        <w:spacing w:after="200" w:line="276" w:lineRule="auto"/>
        <w:rPr>
          <w:rFonts w:asciiTheme="majorHAnsi" w:hAnsiTheme="majorHAnsi"/>
          <w:sz w:val="22"/>
          <w:szCs w:val="22"/>
        </w:rPr>
      </w:pPr>
      <w:r>
        <w:rPr>
          <w:rFonts w:asciiTheme="majorHAnsi" w:hAnsiTheme="majorHAnsi"/>
          <w:sz w:val="22"/>
          <w:szCs w:val="22"/>
        </w:rPr>
        <w:t xml:space="preserve">The RBI, as any other Central Bank, provides a </w:t>
      </w:r>
      <w:r w:rsidR="00C55E9B">
        <w:rPr>
          <w:rFonts w:asciiTheme="majorHAnsi" w:hAnsiTheme="majorHAnsi"/>
          <w:sz w:val="22"/>
          <w:szCs w:val="22"/>
        </w:rPr>
        <w:t xml:space="preserve">central </w:t>
      </w:r>
      <w:r>
        <w:rPr>
          <w:rFonts w:asciiTheme="majorHAnsi" w:hAnsiTheme="majorHAnsi"/>
          <w:sz w:val="22"/>
          <w:szCs w:val="22"/>
        </w:rPr>
        <w:t>mechanism to banks in the Indian economy to transfer funds</w:t>
      </w:r>
      <w:r w:rsidR="004A4702">
        <w:rPr>
          <w:rFonts w:asciiTheme="majorHAnsi" w:hAnsiTheme="majorHAnsi"/>
          <w:sz w:val="22"/>
          <w:szCs w:val="22"/>
        </w:rPr>
        <w:t>,</w:t>
      </w:r>
      <w:r>
        <w:rPr>
          <w:rFonts w:asciiTheme="majorHAnsi" w:hAnsiTheme="majorHAnsi"/>
          <w:sz w:val="22"/>
          <w:szCs w:val="22"/>
        </w:rPr>
        <w:t xml:space="preserve"> and </w:t>
      </w:r>
      <w:r w:rsidR="004A4702">
        <w:rPr>
          <w:rFonts w:asciiTheme="majorHAnsi" w:hAnsiTheme="majorHAnsi"/>
          <w:sz w:val="22"/>
          <w:szCs w:val="22"/>
        </w:rPr>
        <w:t xml:space="preserve">to </w:t>
      </w:r>
      <w:r>
        <w:rPr>
          <w:rFonts w:asciiTheme="majorHAnsi" w:hAnsiTheme="majorHAnsi"/>
          <w:sz w:val="22"/>
          <w:szCs w:val="22"/>
        </w:rPr>
        <w:t xml:space="preserve">settle inter-bank </w:t>
      </w:r>
      <w:r w:rsidR="004A4702">
        <w:rPr>
          <w:rFonts w:asciiTheme="majorHAnsi" w:hAnsiTheme="majorHAnsi"/>
          <w:sz w:val="22"/>
          <w:szCs w:val="22"/>
        </w:rPr>
        <w:t xml:space="preserve">and customer </w:t>
      </w:r>
      <w:r>
        <w:rPr>
          <w:rFonts w:asciiTheme="majorHAnsi" w:hAnsiTheme="majorHAnsi"/>
          <w:sz w:val="22"/>
          <w:szCs w:val="22"/>
        </w:rPr>
        <w:t>transactions</w:t>
      </w:r>
      <w:r w:rsidR="004A4702">
        <w:rPr>
          <w:rFonts w:asciiTheme="majorHAnsi" w:hAnsiTheme="majorHAnsi"/>
          <w:sz w:val="22"/>
          <w:szCs w:val="22"/>
        </w:rPr>
        <w:t xml:space="preserve">. </w:t>
      </w:r>
      <w:r w:rsidR="00C55E9B">
        <w:rPr>
          <w:rFonts w:asciiTheme="majorHAnsi" w:hAnsiTheme="majorHAnsi"/>
          <w:sz w:val="22"/>
          <w:szCs w:val="22"/>
        </w:rPr>
        <w:t xml:space="preserve">In turn, banks are required to maintain a </w:t>
      </w:r>
      <w:r w:rsidR="002A487C">
        <w:rPr>
          <w:rFonts w:asciiTheme="majorHAnsi" w:hAnsiTheme="majorHAnsi"/>
          <w:sz w:val="22"/>
          <w:szCs w:val="22"/>
        </w:rPr>
        <w:t>portion of their demand and time liabilities with the RBI as reserves, and to maintain accounts</w:t>
      </w:r>
      <w:r w:rsidR="008E0B6C">
        <w:rPr>
          <w:rFonts w:asciiTheme="majorHAnsi" w:hAnsiTheme="majorHAnsi"/>
          <w:sz w:val="22"/>
          <w:szCs w:val="22"/>
        </w:rPr>
        <w:t xml:space="preserve"> for inter-bank obligations, clearing and settlement, and </w:t>
      </w:r>
      <w:r w:rsidR="00CE78D1">
        <w:rPr>
          <w:rFonts w:asciiTheme="majorHAnsi" w:hAnsiTheme="majorHAnsi"/>
          <w:sz w:val="22"/>
          <w:szCs w:val="22"/>
        </w:rPr>
        <w:t>for forex trading (in addition to the reserve requirements).</w:t>
      </w:r>
      <w:r w:rsidR="003958B4">
        <w:rPr>
          <w:rFonts w:asciiTheme="majorHAnsi" w:hAnsiTheme="majorHAnsi"/>
          <w:sz w:val="22"/>
          <w:szCs w:val="22"/>
        </w:rPr>
        <w:t xml:space="preserve"> </w:t>
      </w:r>
      <w:r w:rsidR="00772E05">
        <w:rPr>
          <w:rFonts w:asciiTheme="majorHAnsi" w:hAnsiTheme="majorHAnsi"/>
          <w:sz w:val="22"/>
          <w:szCs w:val="22"/>
        </w:rPr>
        <w:t>The RBI constantly monitors the accounts that banks hold with it</w:t>
      </w:r>
      <w:r w:rsidR="005B02B8">
        <w:rPr>
          <w:rFonts w:asciiTheme="majorHAnsi" w:hAnsiTheme="majorHAnsi"/>
          <w:sz w:val="22"/>
          <w:szCs w:val="22"/>
        </w:rPr>
        <w:t xml:space="preserve">, and requires a minimum balance to be maintained in each of them. </w:t>
      </w:r>
      <w:r w:rsidR="006E7B87">
        <w:rPr>
          <w:rFonts w:asciiTheme="majorHAnsi" w:hAnsiTheme="majorHAnsi"/>
          <w:sz w:val="22"/>
          <w:szCs w:val="22"/>
        </w:rPr>
        <w:t>All activity in these accounts is routed through an electronic transfer system called ‘e-</w:t>
      </w:r>
      <w:proofErr w:type="spellStart"/>
      <w:r w:rsidR="006E7B87">
        <w:rPr>
          <w:rFonts w:asciiTheme="majorHAnsi" w:hAnsiTheme="majorHAnsi"/>
          <w:sz w:val="22"/>
          <w:szCs w:val="22"/>
        </w:rPr>
        <w:t>Kuber</w:t>
      </w:r>
      <w:proofErr w:type="spellEnd"/>
      <w:r w:rsidR="006E7B87">
        <w:rPr>
          <w:rFonts w:asciiTheme="majorHAnsi" w:hAnsiTheme="majorHAnsi"/>
          <w:sz w:val="22"/>
          <w:szCs w:val="22"/>
        </w:rPr>
        <w:t xml:space="preserve">’. </w:t>
      </w:r>
    </w:p>
    <w:p w14:paraId="79E43122" w14:textId="452C813B" w:rsidR="003958B4" w:rsidRDefault="00557913" w:rsidP="00AF281A">
      <w:pPr>
        <w:spacing w:after="200" w:line="276" w:lineRule="auto"/>
        <w:rPr>
          <w:rFonts w:asciiTheme="majorHAnsi" w:hAnsiTheme="majorHAnsi"/>
          <w:sz w:val="22"/>
          <w:szCs w:val="22"/>
        </w:rPr>
      </w:pPr>
      <w:r>
        <w:rPr>
          <w:rFonts w:asciiTheme="majorHAnsi" w:hAnsiTheme="majorHAnsi"/>
          <w:sz w:val="22"/>
          <w:szCs w:val="22"/>
        </w:rPr>
        <w:t xml:space="preserve">The RBI also acts as a lender of last resort to banks – the Central Bank comes to the rescue of any bank that is solvent but facing a temporary liquidity crisis, by supplying that bank with emergency liquidity. </w:t>
      </w:r>
      <w:r w:rsidR="003F5DF0">
        <w:rPr>
          <w:rFonts w:asciiTheme="majorHAnsi" w:hAnsiTheme="majorHAnsi"/>
          <w:sz w:val="22"/>
          <w:szCs w:val="22"/>
        </w:rPr>
        <w:t xml:space="preserve">The objectives behind this role are two-fold: 1) to protect depositors, and 2) to protect </w:t>
      </w:r>
      <w:r w:rsidR="00F12175">
        <w:rPr>
          <w:rFonts w:asciiTheme="majorHAnsi" w:hAnsiTheme="majorHAnsi"/>
          <w:sz w:val="22"/>
          <w:szCs w:val="22"/>
        </w:rPr>
        <w:t>a</w:t>
      </w:r>
      <w:r w:rsidR="003F5DF0">
        <w:rPr>
          <w:rFonts w:asciiTheme="majorHAnsi" w:hAnsiTheme="majorHAnsi"/>
          <w:sz w:val="22"/>
          <w:szCs w:val="22"/>
        </w:rPr>
        <w:t xml:space="preserve"> bank from </w:t>
      </w:r>
      <w:r w:rsidR="00F12175">
        <w:rPr>
          <w:rFonts w:asciiTheme="majorHAnsi" w:hAnsiTheme="majorHAnsi"/>
          <w:sz w:val="22"/>
          <w:szCs w:val="22"/>
        </w:rPr>
        <w:t xml:space="preserve">becoming insolvent and </w:t>
      </w:r>
      <w:r w:rsidR="00973393">
        <w:rPr>
          <w:rFonts w:asciiTheme="majorHAnsi" w:hAnsiTheme="majorHAnsi"/>
          <w:sz w:val="22"/>
          <w:szCs w:val="22"/>
        </w:rPr>
        <w:t>possibly</w:t>
      </w:r>
      <w:r w:rsidR="00F12175">
        <w:rPr>
          <w:rFonts w:asciiTheme="majorHAnsi" w:hAnsiTheme="majorHAnsi"/>
          <w:sz w:val="22"/>
          <w:szCs w:val="22"/>
        </w:rPr>
        <w:t xml:space="preserve"> impacting the entire banking sector.</w:t>
      </w:r>
    </w:p>
    <w:p w14:paraId="013B9F29" w14:textId="2A28C134" w:rsidR="00A20DC9" w:rsidRPr="00E51DBC" w:rsidRDefault="00A20DC9" w:rsidP="00A20DC9">
      <w:pPr>
        <w:spacing w:after="200" w:line="276" w:lineRule="auto"/>
        <w:rPr>
          <w:rFonts w:asciiTheme="majorHAnsi" w:hAnsiTheme="majorHAnsi"/>
          <w:sz w:val="22"/>
          <w:szCs w:val="22"/>
        </w:rPr>
      </w:pPr>
      <w:r w:rsidRPr="00A20DC9">
        <w:rPr>
          <w:rFonts w:asciiTheme="majorHAnsi" w:hAnsiTheme="majorHAnsi"/>
          <w:b/>
          <w:sz w:val="22"/>
          <w:szCs w:val="22"/>
        </w:rPr>
        <w:t xml:space="preserve">Parallel </w:t>
      </w:r>
      <w:r w:rsidR="00E51DBC">
        <w:rPr>
          <w:rFonts w:asciiTheme="majorHAnsi" w:hAnsiTheme="majorHAnsi"/>
          <w:b/>
          <w:sz w:val="22"/>
          <w:szCs w:val="22"/>
        </w:rPr>
        <w:t xml:space="preserve">action </w:t>
      </w:r>
      <w:r w:rsidRPr="00A20DC9">
        <w:rPr>
          <w:rFonts w:asciiTheme="majorHAnsi" w:hAnsiTheme="majorHAnsi"/>
          <w:b/>
          <w:sz w:val="22"/>
          <w:szCs w:val="22"/>
        </w:rPr>
        <w:t xml:space="preserve">in the U.S.: </w:t>
      </w:r>
      <w:r w:rsidR="00E51DBC">
        <w:rPr>
          <w:rFonts w:asciiTheme="majorHAnsi" w:hAnsiTheme="majorHAnsi"/>
          <w:sz w:val="22"/>
          <w:szCs w:val="22"/>
        </w:rPr>
        <w:t>The Federal Reserve serves as a lender of last resort through the ‘discount window’, using the discount rate.</w:t>
      </w:r>
    </w:p>
    <w:p w14:paraId="6A5B957D" w14:textId="77777777" w:rsidR="00C31914" w:rsidRDefault="00C31914">
      <w:pPr>
        <w:rPr>
          <w:rFonts w:asciiTheme="majorHAnsi" w:hAnsiTheme="majorHAnsi"/>
          <w:b/>
          <w:sz w:val="22"/>
          <w:szCs w:val="22"/>
        </w:rPr>
      </w:pPr>
      <w:r>
        <w:rPr>
          <w:rFonts w:asciiTheme="majorHAnsi" w:hAnsiTheme="majorHAnsi"/>
          <w:b/>
          <w:sz w:val="22"/>
          <w:szCs w:val="22"/>
        </w:rPr>
        <w:br w:type="page"/>
      </w:r>
    </w:p>
    <w:p w14:paraId="05F9EEFC" w14:textId="419D1540" w:rsidR="00A012D0" w:rsidRPr="0026341D" w:rsidRDefault="00A012D0" w:rsidP="0026341D">
      <w:pPr>
        <w:pStyle w:val="Heading2"/>
        <w:spacing w:before="0" w:after="120"/>
      </w:pPr>
      <w:bookmarkStart w:id="3" w:name="_Toc307682223"/>
      <w:r w:rsidRPr="0026341D">
        <w:lastRenderedPageBreak/>
        <w:t>Issuer of Currency</w:t>
      </w:r>
      <w:bookmarkEnd w:id="3"/>
    </w:p>
    <w:p w14:paraId="38C9C699" w14:textId="0A416FF3" w:rsidR="00337AAA" w:rsidRPr="00A012D0" w:rsidRDefault="00F735C3" w:rsidP="00337AAA">
      <w:pPr>
        <w:spacing w:after="200" w:line="276" w:lineRule="auto"/>
        <w:rPr>
          <w:rFonts w:asciiTheme="majorHAnsi" w:hAnsiTheme="majorHAnsi"/>
          <w:sz w:val="22"/>
          <w:szCs w:val="22"/>
        </w:rPr>
      </w:pPr>
      <w:r>
        <w:rPr>
          <w:rFonts w:asciiTheme="majorHAnsi" w:hAnsiTheme="majorHAnsi"/>
          <w:sz w:val="22"/>
          <w:szCs w:val="22"/>
        </w:rPr>
        <w:t>The RBI</w:t>
      </w:r>
      <w:r w:rsidR="007951BC">
        <w:rPr>
          <w:rFonts w:asciiTheme="majorHAnsi" w:hAnsiTheme="majorHAnsi"/>
          <w:sz w:val="22"/>
          <w:szCs w:val="22"/>
        </w:rPr>
        <w:t xml:space="preserve">, along with the Government of India, </w:t>
      </w:r>
      <w:r>
        <w:rPr>
          <w:rFonts w:asciiTheme="majorHAnsi" w:hAnsiTheme="majorHAnsi"/>
          <w:sz w:val="22"/>
          <w:szCs w:val="22"/>
        </w:rPr>
        <w:t xml:space="preserve">is responsible for the design, production and overall management of </w:t>
      </w:r>
      <w:r w:rsidR="000B3B63">
        <w:rPr>
          <w:rFonts w:asciiTheme="majorHAnsi" w:hAnsiTheme="majorHAnsi"/>
          <w:sz w:val="22"/>
          <w:szCs w:val="22"/>
        </w:rPr>
        <w:t xml:space="preserve">currency notes, whereas the Government of India is the issuing authority of coins, which the RBI circulates through the country. </w:t>
      </w:r>
      <w:r w:rsidR="00337AAA">
        <w:rPr>
          <w:rFonts w:asciiTheme="majorHAnsi" w:hAnsiTheme="majorHAnsi"/>
          <w:sz w:val="22"/>
          <w:szCs w:val="22"/>
        </w:rPr>
        <w:t xml:space="preserve">The currency is distributed through a network of over 4,000 currency chests in various commercial banks throughout India. </w:t>
      </w:r>
    </w:p>
    <w:p w14:paraId="67B62F5E" w14:textId="2ABD437B" w:rsidR="00337AAA" w:rsidRPr="0097397A" w:rsidRDefault="00337AAA" w:rsidP="0097397A">
      <w:pPr>
        <w:pStyle w:val="ListParagraph"/>
        <w:numPr>
          <w:ilvl w:val="0"/>
          <w:numId w:val="8"/>
        </w:numPr>
        <w:spacing w:after="200" w:line="276" w:lineRule="auto"/>
        <w:rPr>
          <w:rFonts w:asciiTheme="majorHAnsi" w:hAnsiTheme="majorHAnsi"/>
          <w:sz w:val="22"/>
          <w:szCs w:val="22"/>
        </w:rPr>
      </w:pPr>
      <w:r w:rsidRPr="0097397A">
        <w:rPr>
          <w:rFonts w:asciiTheme="majorHAnsi" w:hAnsiTheme="majorHAnsi"/>
          <w:sz w:val="22"/>
          <w:szCs w:val="22"/>
        </w:rPr>
        <w:t>Currency Notes: P</w:t>
      </w:r>
      <w:r w:rsidR="00DA0787" w:rsidRPr="0097397A">
        <w:rPr>
          <w:rFonts w:asciiTheme="majorHAnsi" w:hAnsiTheme="majorHAnsi"/>
          <w:sz w:val="22"/>
          <w:szCs w:val="22"/>
        </w:rPr>
        <w:t xml:space="preserve">rinted at four locations in India, two of which are wholly-owned subsidiaries of the RBI, while the other two are wholly-owned subsidiaries of the Central Government. </w:t>
      </w:r>
      <w:r w:rsidRPr="0097397A">
        <w:rPr>
          <w:rFonts w:asciiTheme="majorHAnsi" w:hAnsiTheme="majorHAnsi"/>
          <w:sz w:val="22"/>
          <w:szCs w:val="22"/>
        </w:rPr>
        <w:t>Denominations: INR 5, 10, 20, 50, 100, 500 and 1,000.</w:t>
      </w:r>
    </w:p>
    <w:p w14:paraId="6051EA79" w14:textId="24EFFB6F" w:rsidR="00A012D0" w:rsidRDefault="00337AAA" w:rsidP="0097397A">
      <w:pPr>
        <w:pStyle w:val="ListParagraph"/>
        <w:numPr>
          <w:ilvl w:val="0"/>
          <w:numId w:val="8"/>
        </w:numPr>
        <w:spacing w:after="200" w:line="276" w:lineRule="auto"/>
        <w:rPr>
          <w:rFonts w:asciiTheme="majorHAnsi" w:hAnsiTheme="majorHAnsi"/>
          <w:sz w:val="22"/>
          <w:szCs w:val="22"/>
        </w:rPr>
      </w:pPr>
      <w:r w:rsidRPr="0097397A">
        <w:rPr>
          <w:rFonts w:asciiTheme="majorHAnsi" w:hAnsiTheme="majorHAnsi"/>
          <w:sz w:val="22"/>
          <w:szCs w:val="22"/>
        </w:rPr>
        <w:t>Coins: M</w:t>
      </w:r>
      <w:r w:rsidR="00B67058" w:rsidRPr="0097397A">
        <w:rPr>
          <w:rFonts w:asciiTheme="majorHAnsi" w:hAnsiTheme="majorHAnsi"/>
          <w:sz w:val="22"/>
          <w:szCs w:val="22"/>
        </w:rPr>
        <w:t>inted at four mints, all owned and oper</w:t>
      </w:r>
      <w:r w:rsidR="0097397A" w:rsidRPr="0097397A">
        <w:rPr>
          <w:rFonts w:asciiTheme="majorHAnsi" w:hAnsiTheme="majorHAnsi"/>
          <w:sz w:val="22"/>
          <w:szCs w:val="22"/>
        </w:rPr>
        <w:t xml:space="preserve">ated by the Central Government. </w:t>
      </w:r>
      <w:r w:rsidRPr="0097397A">
        <w:rPr>
          <w:rFonts w:asciiTheme="majorHAnsi" w:hAnsiTheme="majorHAnsi"/>
          <w:sz w:val="22"/>
          <w:szCs w:val="22"/>
        </w:rPr>
        <w:t xml:space="preserve">Denominations: </w:t>
      </w:r>
      <w:r w:rsidR="0097397A" w:rsidRPr="0097397A">
        <w:rPr>
          <w:rFonts w:asciiTheme="majorHAnsi" w:hAnsiTheme="majorHAnsi"/>
          <w:sz w:val="22"/>
          <w:szCs w:val="22"/>
        </w:rPr>
        <w:t xml:space="preserve">50 </w:t>
      </w:r>
      <w:proofErr w:type="spellStart"/>
      <w:r w:rsidR="0097397A" w:rsidRPr="0097397A">
        <w:rPr>
          <w:rFonts w:asciiTheme="majorHAnsi" w:hAnsiTheme="majorHAnsi"/>
          <w:sz w:val="22"/>
          <w:szCs w:val="22"/>
        </w:rPr>
        <w:t>paise</w:t>
      </w:r>
      <w:proofErr w:type="spellEnd"/>
      <w:r w:rsidR="0097397A" w:rsidRPr="0097397A">
        <w:rPr>
          <w:rFonts w:asciiTheme="majorHAnsi" w:hAnsiTheme="majorHAnsi"/>
          <w:sz w:val="22"/>
          <w:szCs w:val="22"/>
        </w:rPr>
        <w:t>; INR 1, 2, 5 and 10.</w:t>
      </w:r>
    </w:p>
    <w:p w14:paraId="1FE24170" w14:textId="5337B271" w:rsidR="0097397A" w:rsidRPr="0097397A" w:rsidRDefault="006E25FC" w:rsidP="0097397A">
      <w:pPr>
        <w:spacing w:after="200" w:line="276" w:lineRule="auto"/>
        <w:rPr>
          <w:rFonts w:asciiTheme="majorHAnsi" w:hAnsiTheme="majorHAnsi"/>
          <w:sz w:val="22"/>
          <w:szCs w:val="22"/>
        </w:rPr>
      </w:pPr>
      <w:r>
        <w:rPr>
          <w:rFonts w:asciiTheme="majorHAnsi" w:hAnsiTheme="majorHAnsi"/>
          <w:sz w:val="22"/>
          <w:szCs w:val="22"/>
        </w:rPr>
        <w:t xml:space="preserve">The focus of the RBI is on ensuring regular and smooth availability of currency through India, and on strengthening security features on </w:t>
      </w:r>
      <w:r w:rsidR="00367460">
        <w:rPr>
          <w:rFonts w:asciiTheme="majorHAnsi" w:hAnsiTheme="majorHAnsi"/>
          <w:sz w:val="22"/>
          <w:szCs w:val="22"/>
        </w:rPr>
        <w:t xml:space="preserve">notes. </w:t>
      </w:r>
    </w:p>
    <w:p w14:paraId="152A3C9B" w14:textId="2F22EFF0" w:rsidR="00706BD3" w:rsidRPr="0026341D" w:rsidRDefault="00706BD3" w:rsidP="0026341D">
      <w:pPr>
        <w:pStyle w:val="Heading2"/>
        <w:spacing w:before="0" w:after="120"/>
      </w:pPr>
      <w:bookmarkStart w:id="4" w:name="_Toc307682224"/>
      <w:r w:rsidRPr="0026341D">
        <w:t>Monetary Policy</w:t>
      </w:r>
      <w:bookmarkEnd w:id="4"/>
    </w:p>
    <w:p w14:paraId="1063CCE5" w14:textId="0A69F6B3" w:rsidR="00706BD3" w:rsidRPr="00C31914" w:rsidRDefault="00C573F0" w:rsidP="007F5620">
      <w:pPr>
        <w:pStyle w:val="Heading3"/>
        <w:spacing w:after="120"/>
      </w:pPr>
      <w:bookmarkStart w:id="5" w:name="_Toc307682225"/>
      <w:r w:rsidRPr="00C31914">
        <w:t xml:space="preserve">Current </w:t>
      </w:r>
      <w:r w:rsidR="00706BD3" w:rsidRPr="00C31914">
        <w:t>Goals:</w:t>
      </w:r>
      <w:bookmarkEnd w:id="5"/>
    </w:p>
    <w:p w14:paraId="36654ACF" w14:textId="2486F437" w:rsidR="00706BD3" w:rsidRPr="00827F5B" w:rsidRDefault="009013ED" w:rsidP="00827F5B">
      <w:pPr>
        <w:pStyle w:val="ListParagraph"/>
        <w:numPr>
          <w:ilvl w:val="0"/>
          <w:numId w:val="2"/>
        </w:numPr>
        <w:spacing w:after="200" w:line="276" w:lineRule="auto"/>
        <w:rPr>
          <w:rFonts w:asciiTheme="majorHAnsi" w:hAnsiTheme="majorHAnsi"/>
          <w:sz w:val="22"/>
          <w:szCs w:val="22"/>
        </w:rPr>
      </w:pPr>
      <w:r w:rsidRPr="00827F5B">
        <w:rPr>
          <w:rFonts w:asciiTheme="majorHAnsi" w:hAnsiTheme="majorHAnsi"/>
          <w:sz w:val="22"/>
          <w:szCs w:val="22"/>
        </w:rPr>
        <w:t xml:space="preserve">Price Stability: </w:t>
      </w:r>
      <w:r w:rsidR="00045CF1" w:rsidRPr="00827F5B">
        <w:rPr>
          <w:rFonts w:asciiTheme="majorHAnsi" w:hAnsiTheme="majorHAnsi"/>
          <w:sz w:val="22"/>
          <w:szCs w:val="22"/>
        </w:rPr>
        <w:t>in</w:t>
      </w:r>
      <w:r w:rsidR="00EA1108" w:rsidRPr="00827F5B">
        <w:rPr>
          <w:rFonts w:asciiTheme="majorHAnsi" w:hAnsiTheme="majorHAnsi"/>
          <w:sz w:val="22"/>
          <w:szCs w:val="22"/>
        </w:rPr>
        <w:t xml:space="preserve"> the overall </w:t>
      </w:r>
      <w:r w:rsidR="00045CF1" w:rsidRPr="00827F5B">
        <w:rPr>
          <w:rFonts w:asciiTheme="majorHAnsi" w:hAnsiTheme="majorHAnsi"/>
          <w:sz w:val="22"/>
          <w:szCs w:val="22"/>
        </w:rPr>
        <w:t>backdrop</w:t>
      </w:r>
      <w:r w:rsidR="00EA1108" w:rsidRPr="00827F5B">
        <w:rPr>
          <w:rFonts w:asciiTheme="majorHAnsi" w:hAnsiTheme="majorHAnsi"/>
          <w:sz w:val="22"/>
          <w:szCs w:val="22"/>
        </w:rPr>
        <w:t xml:space="preserve"> of growth. </w:t>
      </w:r>
      <w:r w:rsidR="00045CF1" w:rsidRPr="00827F5B">
        <w:rPr>
          <w:rFonts w:asciiTheme="majorHAnsi" w:hAnsiTheme="majorHAnsi"/>
          <w:sz w:val="22"/>
          <w:szCs w:val="22"/>
        </w:rPr>
        <w:t>Thus, the relative emphasis varies between</w:t>
      </w:r>
      <w:r w:rsidR="00827F5B" w:rsidRPr="00827F5B">
        <w:rPr>
          <w:rFonts w:asciiTheme="majorHAnsi" w:hAnsiTheme="majorHAnsi"/>
          <w:sz w:val="22"/>
          <w:szCs w:val="22"/>
        </w:rPr>
        <w:t xml:space="preserve"> price stability and growth, depending on the macroeconomic environment that is prevalent.</w:t>
      </w:r>
    </w:p>
    <w:p w14:paraId="3CA627F1" w14:textId="40E0C81E" w:rsidR="00827F5B" w:rsidRPr="00827F5B" w:rsidRDefault="001476D6" w:rsidP="00827F5B">
      <w:pPr>
        <w:pStyle w:val="ListParagraph"/>
        <w:numPr>
          <w:ilvl w:val="0"/>
          <w:numId w:val="2"/>
        </w:numPr>
        <w:spacing w:after="200" w:line="276" w:lineRule="auto"/>
        <w:rPr>
          <w:rFonts w:asciiTheme="majorHAnsi" w:hAnsiTheme="majorHAnsi"/>
          <w:sz w:val="22"/>
          <w:szCs w:val="22"/>
        </w:rPr>
      </w:pPr>
      <w:r>
        <w:rPr>
          <w:rFonts w:asciiTheme="majorHAnsi" w:hAnsiTheme="majorHAnsi"/>
          <w:sz w:val="22"/>
          <w:szCs w:val="22"/>
        </w:rPr>
        <w:t xml:space="preserve">‘Glide Path’ for Disinflation: </w:t>
      </w:r>
      <w:r w:rsidR="00FC452E">
        <w:rPr>
          <w:rFonts w:asciiTheme="majorHAnsi" w:hAnsiTheme="majorHAnsi"/>
          <w:sz w:val="22"/>
          <w:szCs w:val="22"/>
        </w:rPr>
        <w:t>with the objective of 8% CPI (Consumer Price Index)</w:t>
      </w:r>
      <w:r w:rsidR="00C75C1D">
        <w:rPr>
          <w:rFonts w:asciiTheme="majorHAnsi" w:hAnsiTheme="majorHAnsi"/>
          <w:sz w:val="22"/>
          <w:szCs w:val="22"/>
        </w:rPr>
        <w:t xml:space="preserve"> inflation by January 2015, below 6% by January 2016, and 4% (+/-</w:t>
      </w:r>
      <w:r w:rsidR="00C573F0">
        <w:rPr>
          <w:rFonts w:asciiTheme="majorHAnsi" w:hAnsiTheme="majorHAnsi"/>
          <w:sz w:val="22"/>
          <w:szCs w:val="22"/>
        </w:rPr>
        <w:t>) 2% in financial year 2016-17 and subsequent years.</w:t>
      </w:r>
    </w:p>
    <w:p w14:paraId="3C5A9B81" w14:textId="36BB7B29" w:rsidR="00AF2D79" w:rsidRPr="007F5620" w:rsidRDefault="00451EC8" w:rsidP="007F5620">
      <w:pPr>
        <w:pStyle w:val="Heading3"/>
        <w:spacing w:after="120"/>
      </w:pPr>
      <w:bookmarkStart w:id="6" w:name="_Toc307682226"/>
      <w:r w:rsidRPr="007F5620">
        <w:t>Process:</w:t>
      </w:r>
      <w:bookmarkEnd w:id="6"/>
    </w:p>
    <w:p w14:paraId="5329DE19" w14:textId="3F8C5E63" w:rsidR="007C5078" w:rsidRPr="007C5078" w:rsidRDefault="00CA6797" w:rsidP="007C5078">
      <w:pPr>
        <w:pStyle w:val="ListParagraph"/>
        <w:numPr>
          <w:ilvl w:val="0"/>
          <w:numId w:val="1"/>
        </w:numPr>
        <w:spacing w:after="200" w:line="276" w:lineRule="auto"/>
        <w:rPr>
          <w:rFonts w:asciiTheme="majorHAnsi" w:hAnsiTheme="majorHAnsi"/>
          <w:sz w:val="22"/>
          <w:szCs w:val="22"/>
        </w:rPr>
      </w:pPr>
      <w:r w:rsidRPr="007C5078">
        <w:rPr>
          <w:rFonts w:asciiTheme="majorHAnsi" w:hAnsiTheme="majorHAnsi"/>
          <w:sz w:val="22"/>
          <w:szCs w:val="22"/>
        </w:rPr>
        <w:t>The RBI assists the government in formulating monetary policy through its</w:t>
      </w:r>
      <w:r w:rsidR="008C1F49" w:rsidRPr="007C5078">
        <w:rPr>
          <w:rFonts w:asciiTheme="majorHAnsi" w:hAnsiTheme="majorHAnsi"/>
          <w:sz w:val="22"/>
          <w:szCs w:val="22"/>
        </w:rPr>
        <w:t xml:space="preserve"> Monetary Policy Department (MPD)</w:t>
      </w:r>
      <w:r w:rsidRPr="007C5078">
        <w:rPr>
          <w:rFonts w:asciiTheme="majorHAnsi" w:hAnsiTheme="majorHAnsi"/>
          <w:sz w:val="22"/>
          <w:szCs w:val="22"/>
        </w:rPr>
        <w:t xml:space="preserve">, by incorporating </w:t>
      </w:r>
      <w:r w:rsidR="00422DD9" w:rsidRPr="007C5078">
        <w:rPr>
          <w:rFonts w:asciiTheme="majorHAnsi" w:hAnsiTheme="majorHAnsi"/>
          <w:sz w:val="22"/>
          <w:szCs w:val="22"/>
        </w:rPr>
        <w:t>views of the key stakeholders in the economy, advice of the Technical Advisory Committee</w:t>
      </w:r>
      <w:r w:rsidR="00AD0B4F" w:rsidRPr="007C5078">
        <w:rPr>
          <w:rFonts w:asciiTheme="majorHAnsi" w:hAnsiTheme="majorHAnsi"/>
          <w:sz w:val="22"/>
          <w:szCs w:val="22"/>
        </w:rPr>
        <w:t xml:space="preserve"> (TAC), and analytics from the central bank. </w:t>
      </w:r>
    </w:p>
    <w:p w14:paraId="51D81F9B" w14:textId="77777777" w:rsidR="004603F7" w:rsidRDefault="007C5078" w:rsidP="007C5078">
      <w:pPr>
        <w:pStyle w:val="ListParagraph"/>
        <w:numPr>
          <w:ilvl w:val="0"/>
          <w:numId w:val="1"/>
        </w:numPr>
        <w:spacing w:after="200" w:line="276" w:lineRule="auto"/>
        <w:rPr>
          <w:rFonts w:asciiTheme="majorHAnsi" w:hAnsiTheme="majorHAnsi"/>
          <w:sz w:val="22"/>
          <w:szCs w:val="22"/>
        </w:rPr>
      </w:pPr>
      <w:r>
        <w:rPr>
          <w:rFonts w:asciiTheme="majorHAnsi" w:hAnsiTheme="majorHAnsi"/>
          <w:sz w:val="22"/>
          <w:szCs w:val="22"/>
        </w:rPr>
        <w:t xml:space="preserve">The monetary policy is operationalized by the </w:t>
      </w:r>
      <w:r w:rsidR="00304B19">
        <w:rPr>
          <w:rFonts w:asciiTheme="majorHAnsi" w:hAnsiTheme="majorHAnsi"/>
          <w:sz w:val="22"/>
          <w:szCs w:val="22"/>
        </w:rPr>
        <w:t xml:space="preserve">Financial Markets Department (FMD), primarily through </w:t>
      </w:r>
      <w:r w:rsidR="004603F7">
        <w:rPr>
          <w:rFonts w:asciiTheme="majorHAnsi" w:hAnsiTheme="majorHAnsi"/>
          <w:sz w:val="22"/>
          <w:szCs w:val="22"/>
        </w:rPr>
        <w:t>day-to-day liquidity management.</w:t>
      </w:r>
    </w:p>
    <w:p w14:paraId="7B0C8A70" w14:textId="7A9110D8" w:rsidR="00451EC8" w:rsidRDefault="00CA6797" w:rsidP="007C5078">
      <w:pPr>
        <w:pStyle w:val="ListParagraph"/>
        <w:numPr>
          <w:ilvl w:val="0"/>
          <w:numId w:val="1"/>
        </w:numPr>
        <w:spacing w:after="200" w:line="276" w:lineRule="auto"/>
        <w:rPr>
          <w:rFonts w:asciiTheme="majorHAnsi" w:hAnsiTheme="majorHAnsi"/>
          <w:sz w:val="22"/>
          <w:szCs w:val="22"/>
        </w:rPr>
      </w:pPr>
      <w:r w:rsidRPr="007C5078">
        <w:rPr>
          <w:rFonts w:asciiTheme="majorHAnsi" w:hAnsiTheme="majorHAnsi"/>
          <w:sz w:val="22"/>
          <w:szCs w:val="22"/>
        </w:rPr>
        <w:t xml:space="preserve"> </w:t>
      </w:r>
      <w:r w:rsidR="001B3E3C">
        <w:rPr>
          <w:rFonts w:asciiTheme="majorHAnsi" w:hAnsiTheme="majorHAnsi"/>
          <w:sz w:val="22"/>
          <w:szCs w:val="22"/>
        </w:rPr>
        <w:t xml:space="preserve">The Financial Markets Committee (FMC) of the RBI meets </w:t>
      </w:r>
      <w:r w:rsidR="00215402">
        <w:rPr>
          <w:rFonts w:asciiTheme="majorHAnsi" w:hAnsiTheme="majorHAnsi"/>
          <w:sz w:val="22"/>
          <w:szCs w:val="22"/>
        </w:rPr>
        <w:t>daily to review the consistency between policy rates, money marke</w:t>
      </w:r>
      <w:r w:rsidR="00C121EC">
        <w:rPr>
          <w:rFonts w:asciiTheme="majorHAnsi" w:hAnsiTheme="majorHAnsi"/>
          <w:sz w:val="22"/>
          <w:szCs w:val="22"/>
        </w:rPr>
        <w:t>t rates and liquidity conditions.</w:t>
      </w:r>
    </w:p>
    <w:p w14:paraId="0E94B930" w14:textId="44280C4A" w:rsidR="00C121EC" w:rsidRPr="007F5620" w:rsidRDefault="00C573F0" w:rsidP="007F5620">
      <w:pPr>
        <w:pStyle w:val="Heading3"/>
        <w:spacing w:after="120"/>
      </w:pPr>
      <w:bookmarkStart w:id="7" w:name="_Toc307682227"/>
      <w:r w:rsidRPr="007F5620">
        <w:t>Instruments:</w:t>
      </w:r>
      <w:bookmarkEnd w:id="7"/>
    </w:p>
    <w:p w14:paraId="7F85F0C4" w14:textId="5072873D" w:rsidR="00244714" w:rsidRDefault="006B0869" w:rsidP="00C573F0">
      <w:pPr>
        <w:spacing w:after="200" w:line="276" w:lineRule="auto"/>
        <w:rPr>
          <w:rFonts w:asciiTheme="majorHAnsi" w:hAnsiTheme="majorHAnsi"/>
          <w:sz w:val="22"/>
          <w:szCs w:val="22"/>
        </w:rPr>
      </w:pPr>
      <w:r>
        <w:rPr>
          <w:rFonts w:asciiTheme="majorHAnsi" w:hAnsiTheme="majorHAnsi"/>
          <w:sz w:val="22"/>
          <w:szCs w:val="22"/>
        </w:rPr>
        <w:t>The RBI regulates the liquidity in the Indian economy through the following tools at its disposal</w:t>
      </w:r>
      <w:r w:rsidR="00396104">
        <w:rPr>
          <w:rFonts w:asciiTheme="majorHAnsi" w:hAnsiTheme="majorHAnsi"/>
          <w:sz w:val="22"/>
          <w:szCs w:val="22"/>
        </w:rPr>
        <w:t>:</w:t>
      </w:r>
    </w:p>
    <w:p w14:paraId="621B1601" w14:textId="299F6F8C" w:rsidR="00C573F0" w:rsidRPr="006B0869" w:rsidRDefault="006B0869" w:rsidP="006B0869">
      <w:pPr>
        <w:pStyle w:val="ListParagraph"/>
        <w:numPr>
          <w:ilvl w:val="0"/>
          <w:numId w:val="3"/>
        </w:numPr>
        <w:spacing w:after="200" w:line="276" w:lineRule="auto"/>
        <w:rPr>
          <w:rFonts w:asciiTheme="majorHAnsi" w:hAnsiTheme="majorHAnsi"/>
          <w:sz w:val="22"/>
          <w:szCs w:val="22"/>
        </w:rPr>
      </w:pPr>
      <w:r w:rsidRPr="006B0869">
        <w:rPr>
          <w:rFonts w:asciiTheme="majorHAnsi" w:hAnsiTheme="majorHAnsi"/>
          <w:sz w:val="22"/>
          <w:szCs w:val="22"/>
        </w:rPr>
        <w:t>Cash Reserve Ratio (CRR): Currently set at 4%, t</w:t>
      </w:r>
      <w:r w:rsidR="00745B96">
        <w:rPr>
          <w:rFonts w:asciiTheme="majorHAnsi" w:hAnsiTheme="majorHAnsi"/>
          <w:sz w:val="22"/>
          <w:szCs w:val="22"/>
        </w:rPr>
        <w:t>he CRR is the share of overall Net Demand and Time L</w:t>
      </w:r>
      <w:r w:rsidRPr="006B0869">
        <w:rPr>
          <w:rFonts w:asciiTheme="majorHAnsi" w:hAnsiTheme="majorHAnsi"/>
          <w:sz w:val="22"/>
          <w:szCs w:val="22"/>
        </w:rPr>
        <w:t xml:space="preserve">iabilities </w:t>
      </w:r>
      <w:r w:rsidR="00745B96">
        <w:rPr>
          <w:rFonts w:asciiTheme="majorHAnsi" w:hAnsiTheme="majorHAnsi"/>
          <w:sz w:val="22"/>
          <w:szCs w:val="22"/>
        </w:rPr>
        <w:t xml:space="preserve">(NDTL) </w:t>
      </w:r>
      <w:r w:rsidRPr="006B0869">
        <w:rPr>
          <w:rFonts w:asciiTheme="majorHAnsi" w:hAnsiTheme="majorHAnsi"/>
          <w:sz w:val="22"/>
          <w:szCs w:val="22"/>
        </w:rPr>
        <w:t>that banks must maintain as a cash balance with the RBI.</w:t>
      </w:r>
      <w:r w:rsidR="00FB2C27">
        <w:rPr>
          <w:rFonts w:asciiTheme="majorHAnsi" w:hAnsiTheme="majorHAnsi"/>
          <w:sz w:val="22"/>
          <w:szCs w:val="22"/>
        </w:rPr>
        <w:t xml:space="preserve"> </w:t>
      </w:r>
      <w:r w:rsidR="00FB2C27" w:rsidRPr="00FB2C27">
        <w:rPr>
          <w:rFonts w:asciiTheme="majorHAnsi" w:hAnsiTheme="majorHAnsi"/>
          <w:i/>
          <w:sz w:val="22"/>
          <w:szCs w:val="22"/>
        </w:rPr>
        <w:t>(</w:t>
      </w:r>
      <w:r w:rsidR="00D27A2F">
        <w:rPr>
          <w:rFonts w:asciiTheme="majorHAnsi" w:hAnsiTheme="majorHAnsi"/>
          <w:i/>
          <w:sz w:val="22"/>
          <w:szCs w:val="22"/>
        </w:rPr>
        <w:t xml:space="preserve">Appendices: </w:t>
      </w:r>
      <w:r w:rsidR="00FB2C27" w:rsidRPr="00FB2C27">
        <w:rPr>
          <w:rFonts w:asciiTheme="majorHAnsi" w:hAnsiTheme="majorHAnsi"/>
          <w:i/>
          <w:sz w:val="22"/>
          <w:szCs w:val="22"/>
        </w:rPr>
        <w:t>Tables 1, and 2-1, 2-2 and 2-3)</w:t>
      </w:r>
    </w:p>
    <w:p w14:paraId="1812A291" w14:textId="0C4E999B" w:rsidR="00350AFC" w:rsidRDefault="00E34AE2" w:rsidP="006B0869">
      <w:pPr>
        <w:pStyle w:val="ListParagraph"/>
        <w:numPr>
          <w:ilvl w:val="0"/>
          <w:numId w:val="3"/>
        </w:numPr>
        <w:spacing w:after="200" w:line="276" w:lineRule="auto"/>
        <w:rPr>
          <w:rFonts w:asciiTheme="majorHAnsi" w:hAnsiTheme="majorHAnsi"/>
          <w:sz w:val="22"/>
          <w:szCs w:val="22"/>
        </w:rPr>
      </w:pPr>
      <w:r>
        <w:rPr>
          <w:rFonts w:asciiTheme="majorHAnsi" w:hAnsiTheme="majorHAnsi"/>
          <w:sz w:val="22"/>
          <w:szCs w:val="22"/>
        </w:rPr>
        <w:t xml:space="preserve">Statutory Liquidity Ratio (SLR): Currently set at 21.5%, the SLR </w:t>
      </w:r>
      <w:r w:rsidR="00745B96">
        <w:rPr>
          <w:rFonts w:asciiTheme="majorHAnsi" w:hAnsiTheme="majorHAnsi"/>
          <w:sz w:val="22"/>
          <w:szCs w:val="22"/>
        </w:rPr>
        <w:t>is the share of overall NDTL that banks must maintain in safe and liquid</w:t>
      </w:r>
      <w:r w:rsidR="00783BB2">
        <w:rPr>
          <w:rFonts w:asciiTheme="majorHAnsi" w:hAnsiTheme="majorHAnsi"/>
          <w:sz w:val="22"/>
          <w:szCs w:val="22"/>
        </w:rPr>
        <w:t xml:space="preserve"> assets (government securities</w:t>
      </w:r>
      <w:r w:rsidR="000A001D">
        <w:rPr>
          <w:rFonts w:asciiTheme="majorHAnsi" w:hAnsiTheme="majorHAnsi"/>
          <w:sz w:val="22"/>
          <w:szCs w:val="22"/>
        </w:rPr>
        <w:t xml:space="preserve">, </w:t>
      </w:r>
      <w:r w:rsidR="00745B96">
        <w:rPr>
          <w:rFonts w:asciiTheme="majorHAnsi" w:hAnsiTheme="majorHAnsi"/>
          <w:sz w:val="22"/>
          <w:szCs w:val="22"/>
        </w:rPr>
        <w:t xml:space="preserve">cash and gold). </w:t>
      </w:r>
      <w:r w:rsidR="00FB2C27" w:rsidRPr="00FB2C27">
        <w:rPr>
          <w:rFonts w:asciiTheme="majorHAnsi" w:hAnsiTheme="majorHAnsi"/>
          <w:i/>
          <w:sz w:val="22"/>
          <w:szCs w:val="22"/>
        </w:rPr>
        <w:t>(</w:t>
      </w:r>
      <w:r w:rsidR="00862FD0">
        <w:rPr>
          <w:rFonts w:asciiTheme="majorHAnsi" w:hAnsiTheme="majorHAnsi"/>
          <w:i/>
          <w:sz w:val="22"/>
          <w:szCs w:val="22"/>
        </w:rPr>
        <w:t xml:space="preserve">Appendices: </w:t>
      </w:r>
      <w:r w:rsidR="00FB2C27" w:rsidRPr="00FB2C27">
        <w:rPr>
          <w:rFonts w:asciiTheme="majorHAnsi" w:hAnsiTheme="majorHAnsi"/>
          <w:i/>
          <w:sz w:val="22"/>
          <w:szCs w:val="22"/>
        </w:rPr>
        <w:t>Tables 1 and 3)</w:t>
      </w:r>
    </w:p>
    <w:p w14:paraId="36863883" w14:textId="20C37C3D" w:rsidR="006B0869" w:rsidRDefault="005E12DF" w:rsidP="00350AFC">
      <w:pPr>
        <w:spacing w:after="200" w:line="276" w:lineRule="auto"/>
        <w:rPr>
          <w:rFonts w:asciiTheme="majorHAnsi" w:hAnsiTheme="majorHAnsi"/>
          <w:sz w:val="22"/>
          <w:szCs w:val="22"/>
        </w:rPr>
      </w:pPr>
      <w:r w:rsidRPr="00350AFC">
        <w:rPr>
          <w:rFonts w:asciiTheme="majorHAnsi" w:hAnsiTheme="majorHAnsi"/>
          <w:sz w:val="22"/>
          <w:szCs w:val="22"/>
        </w:rPr>
        <w:lastRenderedPageBreak/>
        <w:t>Through changes in the SLR</w:t>
      </w:r>
      <w:r w:rsidR="00350AFC">
        <w:rPr>
          <w:rFonts w:asciiTheme="majorHAnsi" w:hAnsiTheme="majorHAnsi"/>
          <w:sz w:val="22"/>
          <w:szCs w:val="22"/>
        </w:rPr>
        <w:t xml:space="preserve"> (and, to a smaller extent, through changes in the </w:t>
      </w:r>
      <w:r w:rsidR="00EA1380">
        <w:rPr>
          <w:rFonts w:asciiTheme="majorHAnsi" w:hAnsiTheme="majorHAnsi"/>
          <w:sz w:val="22"/>
          <w:szCs w:val="22"/>
        </w:rPr>
        <w:t>CRR)</w:t>
      </w:r>
      <w:r w:rsidRPr="00350AFC">
        <w:rPr>
          <w:rFonts w:asciiTheme="majorHAnsi" w:hAnsiTheme="majorHAnsi"/>
          <w:sz w:val="22"/>
          <w:szCs w:val="22"/>
        </w:rPr>
        <w:t xml:space="preserve">, the RBI can directly influence </w:t>
      </w:r>
      <w:r w:rsidR="00350AFC" w:rsidRPr="00350AFC">
        <w:rPr>
          <w:rFonts w:asciiTheme="majorHAnsi" w:hAnsiTheme="majorHAnsi"/>
          <w:sz w:val="22"/>
          <w:szCs w:val="22"/>
        </w:rPr>
        <w:t xml:space="preserve">the liquidity in </w:t>
      </w:r>
      <w:r w:rsidR="00EA1380">
        <w:rPr>
          <w:rFonts w:asciiTheme="majorHAnsi" w:hAnsiTheme="majorHAnsi"/>
          <w:sz w:val="22"/>
          <w:szCs w:val="22"/>
        </w:rPr>
        <w:t xml:space="preserve">the system, controlling bank credit to fit monetary objectives. </w:t>
      </w:r>
      <w:r w:rsidR="00C754FC">
        <w:rPr>
          <w:rFonts w:asciiTheme="majorHAnsi" w:hAnsiTheme="majorHAnsi"/>
          <w:sz w:val="22"/>
          <w:szCs w:val="22"/>
        </w:rPr>
        <w:t xml:space="preserve">Additionally, the SLR (and CRR) also provide a </w:t>
      </w:r>
      <w:r w:rsidR="00F962C8">
        <w:rPr>
          <w:rFonts w:asciiTheme="majorHAnsi" w:hAnsiTheme="majorHAnsi"/>
          <w:sz w:val="22"/>
          <w:szCs w:val="22"/>
        </w:rPr>
        <w:t xml:space="preserve">safety net for the general population, by ensuring that banks have adequate funds to meet any solvency requirements. </w:t>
      </w:r>
      <w:r w:rsidR="00CA4A57">
        <w:rPr>
          <w:rFonts w:asciiTheme="majorHAnsi" w:hAnsiTheme="majorHAnsi"/>
          <w:sz w:val="22"/>
          <w:szCs w:val="22"/>
        </w:rPr>
        <w:t>Banks must report their SLR numbers every alternate Friday to the RBI, and are penalized if they fail to meet the requirements.</w:t>
      </w:r>
    </w:p>
    <w:p w14:paraId="58FFAF04" w14:textId="3CFB7480" w:rsidR="00F408EB" w:rsidRPr="0030176B" w:rsidRDefault="00F408EB" w:rsidP="00350AFC">
      <w:pPr>
        <w:spacing w:after="200" w:line="276" w:lineRule="auto"/>
        <w:rPr>
          <w:rFonts w:asciiTheme="majorHAnsi" w:hAnsiTheme="majorHAnsi"/>
          <w:color w:val="FF0000"/>
          <w:sz w:val="22"/>
          <w:szCs w:val="22"/>
        </w:rPr>
      </w:pPr>
      <w:r w:rsidRPr="00F408EB">
        <w:rPr>
          <w:rFonts w:asciiTheme="majorHAnsi" w:hAnsiTheme="majorHAnsi"/>
          <w:b/>
          <w:sz w:val="22"/>
          <w:szCs w:val="22"/>
        </w:rPr>
        <w:t xml:space="preserve">Parallel instrument in the U.S.: </w:t>
      </w:r>
      <w:r>
        <w:rPr>
          <w:rFonts w:asciiTheme="majorHAnsi" w:hAnsiTheme="majorHAnsi"/>
          <w:sz w:val="22"/>
          <w:szCs w:val="22"/>
        </w:rPr>
        <w:t>Reserve Requirements –</w:t>
      </w:r>
      <w:r w:rsidR="00A84A4B">
        <w:rPr>
          <w:rFonts w:asciiTheme="majorHAnsi" w:hAnsiTheme="majorHAnsi"/>
          <w:sz w:val="22"/>
          <w:szCs w:val="22"/>
        </w:rPr>
        <w:t xml:space="preserve"> every depository institution in the U.S. is legally required to set aside a certain percentage of their deposits as reserves (either as cash or account balances with a Reserve Bank). </w:t>
      </w:r>
      <w:r w:rsidR="00673361">
        <w:rPr>
          <w:rFonts w:asciiTheme="majorHAnsi" w:hAnsiTheme="majorHAnsi"/>
          <w:sz w:val="22"/>
          <w:szCs w:val="22"/>
        </w:rPr>
        <w:t xml:space="preserve">These accounts are used by banks to process various financial transactions with the Fed (such as check clearings, electronic </w:t>
      </w:r>
      <w:r w:rsidR="00673361" w:rsidRPr="00843EE1">
        <w:rPr>
          <w:rFonts w:asciiTheme="majorHAnsi" w:hAnsiTheme="majorHAnsi"/>
          <w:color w:val="000000" w:themeColor="text1"/>
          <w:sz w:val="22"/>
          <w:szCs w:val="22"/>
        </w:rPr>
        <w:t>payments etc.)</w:t>
      </w:r>
      <w:r w:rsidR="00FE64F9" w:rsidRPr="00843EE1">
        <w:rPr>
          <w:rFonts w:asciiTheme="majorHAnsi" w:hAnsiTheme="majorHAnsi"/>
          <w:color w:val="000000" w:themeColor="text1"/>
          <w:sz w:val="22"/>
          <w:szCs w:val="22"/>
        </w:rPr>
        <w:t xml:space="preserve"> </w:t>
      </w:r>
      <w:r w:rsidR="00843EE1" w:rsidRPr="00843EE1">
        <w:rPr>
          <w:rFonts w:asciiTheme="majorHAnsi" w:hAnsiTheme="majorHAnsi"/>
          <w:i/>
          <w:color w:val="000000" w:themeColor="text1"/>
          <w:sz w:val="22"/>
          <w:szCs w:val="22"/>
        </w:rPr>
        <w:t>(Appendices: Table</w:t>
      </w:r>
      <w:r w:rsidR="00D76CA1">
        <w:rPr>
          <w:rFonts w:asciiTheme="majorHAnsi" w:hAnsiTheme="majorHAnsi"/>
          <w:i/>
          <w:color w:val="000000" w:themeColor="text1"/>
          <w:sz w:val="22"/>
          <w:szCs w:val="22"/>
        </w:rPr>
        <w:t>s 1 and</w:t>
      </w:r>
      <w:r w:rsidR="00843EE1" w:rsidRPr="00843EE1">
        <w:rPr>
          <w:rFonts w:asciiTheme="majorHAnsi" w:hAnsiTheme="majorHAnsi"/>
          <w:i/>
          <w:color w:val="000000" w:themeColor="text1"/>
          <w:sz w:val="22"/>
          <w:szCs w:val="22"/>
        </w:rPr>
        <w:t xml:space="preserve"> 7</w:t>
      </w:r>
      <w:r w:rsidR="00FE64F9" w:rsidRPr="00843EE1">
        <w:rPr>
          <w:rFonts w:asciiTheme="majorHAnsi" w:hAnsiTheme="majorHAnsi"/>
          <w:i/>
          <w:color w:val="000000" w:themeColor="text1"/>
          <w:sz w:val="22"/>
          <w:szCs w:val="22"/>
        </w:rPr>
        <w:t>)</w:t>
      </w:r>
    </w:p>
    <w:p w14:paraId="28D96945" w14:textId="33C027CA" w:rsidR="008142A6" w:rsidRDefault="00A32B81" w:rsidP="00A5601F">
      <w:pPr>
        <w:pStyle w:val="ListParagraph"/>
        <w:numPr>
          <w:ilvl w:val="0"/>
          <w:numId w:val="3"/>
        </w:numPr>
        <w:spacing w:after="200" w:line="276" w:lineRule="auto"/>
        <w:rPr>
          <w:rFonts w:asciiTheme="majorHAnsi" w:hAnsiTheme="majorHAnsi"/>
          <w:sz w:val="22"/>
          <w:szCs w:val="22"/>
        </w:rPr>
      </w:pPr>
      <w:r w:rsidRPr="00A5601F">
        <w:rPr>
          <w:rFonts w:asciiTheme="majorHAnsi" w:hAnsiTheme="majorHAnsi"/>
          <w:sz w:val="22"/>
          <w:szCs w:val="22"/>
        </w:rPr>
        <w:t xml:space="preserve">Liquidity Adjustment Facility: </w:t>
      </w:r>
      <w:r w:rsidR="007C6B3D" w:rsidRPr="00A5601F">
        <w:rPr>
          <w:rFonts w:asciiTheme="majorHAnsi" w:hAnsiTheme="majorHAnsi"/>
          <w:sz w:val="22"/>
          <w:szCs w:val="22"/>
        </w:rPr>
        <w:t xml:space="preserve">This consists of overnight and term repo / reverse repo auctions. In a concerted effort to promote longer-term monetary stability, the RBI has </w:t>
      </w:r>
      <w:r w:rsidR="00A5601F" w:rsidRPr="00A5601F">
        <w:rPr>
          <w:rFonts w:asciiTheme="majorHAnsi" w:hAnsiTheme="majorHAnsi"/>
          <w:sz w:val="22"/>
          <w:szCs w:val="22"/>
        </w:rPr>
        <w:t>increasingly moved towards term repos.</w:t>
      </w:r>
    </w:p>
    <w:p w14:paraId="244C0C1E" w14:textId="095997F7" w:rsidR="00A5601F" w:rsidRPr="00A5601F" w:rsidRDefault="00A5601F" w:rsidP="00A5601F">
      <w:pPr>
        <w:pStyle w:val="ListParagraph"/>
        <w:numPr>
          <w:ilvl w:val="0"/>
          <w:numId w:val="4"/>
        </w:numPr>
        <w:spacing w:after="200" w:line="276" w:lineRule="auto"/>
        <w:rPr>
          <w:rFonts w:asciiTheme="majorHAnsi" w:hAnsiTheme="majorHAnsi"/>
          <w:sz w:val="22"/>
          <w:szCs w:val="22"/>
        </w:rPr>
      </w:pPr>
      <w:r>
        <w:rPr>
          <w:rFonts w:asciiTheme="majorHAnsi" w:hAnsiTheme="majorHAnsi"/>
          <w:sz w:val="22"/>
          <w:szCs w:val="22"/>
        </w:rPr>
        <w:t xml:space="preserve">Term Repos / Reverse Repos: </w:t>
      </w:r>
      <w:r w:rsidR="00D21C52">
        <w:rPr>
          <w:rFonts w:asciiTheme="majorHAnsi" w:hAnsiTheme="majorHAnsi"/>
          <w:sz w:val="22"/>
          <w:szCs w:val="22"/>
        </w:rPr>
        <w:t xml:space="preserve">The rate at which banks borrow </w:t>
      </w:r>
      <w:r w:rsidR="008277F9">
        <w:rPr>
          <w:rFonts w:asciiTheme="majorHAnsi" w:hAnsiTheme="majorHAnsi"/>
          <w:sz w:val="22"/>
          <w:szCs w:val="22"/>
        </w:rPr>
        <w:t xml:space="preserve">from / lend to the RBI. </w:t>
      </w:r>
      <w:r>
        <w:rPr>
          <w:rFonts w:asciiTheme="majorHAnsi" w:hAnsiTheme="majorHAnsi"/>
          <w:sz w:val="22"/>
          <w:szCs w:val="22"/>
        </w:rPr>
        <w:t>Curr</w:t>
      </w:r>
      <w:r w:rsidR="002125D3">
        <w:rPr>
          <w:rFonts w:asciiTheme="majorHAnsi" w:hAnsiTheme="majorHAnsi"/>
          <w:sz w:val="22"/>
          <w:szCs w:val="22"/>
        </w:rPr>
        <w:t>ently, the repo rate is set at 6.75</w:t>
      </w:r>
      <w:r>
        <w:rPr>
          <w:rFonts w:asciiTheme="majorHAnsi" w:hAnsiTheme="majorHAnsi"/>
          <w:sz w:val="22"/>
          <w:szCs w:val="22"/>
        </w:rPr>
        <w:t>%</w:t>
      </w:r>
      <w:r w:rsidR="00CD62F4">
        <w:rPr>
          <w:rFonts w:asciiTheme="majorHAnsi" w:hAnsiTheme="majorHAnsi"/>
          <w:sz w:val="22"/>
          <w:szCs w:val="22"/>
        </w:rPr>
        <w:t>, while the reverse repo is at 5.7</w:t>
      </w:r>
      <w:r>
        <w:rPr>
          <w:rFonts w:asciiTheme="majorHAnsi" w:hAnsiTheme="majorHAnsi"/>
          <w:sz w:val="22"/>
          <w:szCs w:val="22"/>
        </w:rPr>
        <w:t xml:space="preserve">5%. </w:t>
      </w:r>
      <w:r w:rsidR="001B77BF">
        <w:rPr>
          <w:rFonts w:asciiTheme="majorHAnsi" w:hAnsiTheme="majorHAnsi"/>
          <w:sz w:val="22"/>
          <w:szCs w:val="22"/>
        </w:rPr>
        <w:t>The primary objectives of the repo market are two-fold: a) to improve the transmission of monetary policy, and b) to help develo</w:t>
      </w:r>
      <w:r w:rsidR="00D21C52">
        <w:rPr>
          <w:rFonts w:asciiTheme="majorHAnsi" w:hAnsiTheme="majorHAnsi"/>
          <w:sz w:val="22"/>
          <w:szCs w:val="22"/>
        </w:rPr>
        <w:t>p the inter-bank money market.</w:t>
      </w:r>
      <w:r w:rsidR="00FB2C27">
        <w:rPr>
          <w:rFonts w:asciiTheme="majorHAnsi" w:hAnsiTheme="majorHAnsi"/>
          <w:sz w:val="22"/>
          <w:szCs w:val="22"/>
        </w:rPr>
        <w:t xml:space="preserve"> </w:t>
      </w:r>
      <w:r w:rsidR="00FB2C27" w:rsidRPr="007B1248">
        <w:rPr>
          <w:rFonts w:asciiTheme="majorHAnsi" w:hAnsiTheme="majorHAnsi"/>
          <w:i/>
          <w:sz w:val="22"/>
          <w:szCs w:val="22"/>
        </w:rPr>
        <w:t>(</w:t>
      </w:r>
      <w:r w:rsidR="00862FD0">
        <w:rPr>
          <w:rFonts w:asciiTheme="majorHAnsi" w:hAnsiTheme="majorHAnsi"/>
          <w:i/>
          <w:sz w:val="22"/>
          <w:szCs w:val="22"/>
        </w:rPr>
        <w:t xml:space="preserve">Appendices: </w:t>
      </w:r>
      <w:r w:rsidR="00FB2C27" w:rsidRPr="007B1248">
        <w:rPr>
          <w:rFonts w:asciiTheme="majorHAnsi" w:hAnsiTheme="majorHAnsi"/>
          <w:i/>
          <w:sz w:val="22"/>
          <w:szCs w:val="22"/>
        </w:rPr>
        <w:t>Tables 1 and 4)</w:t>
      </w:r>
    </w:p>
    <w:p w14:paraId="40FD6DAE" w14:textId="7F25AA65" w:rsidR="00A5601F" w:rsidRPr="004607A6" w:rsidRDefault="008277F9" w:rsidP="00A5601F">
      <w:pPr>
        <w:pStyle w:val="ListParagraph"/>
        <w:numPr>
          <w:ilvl w:val="0"/>
          <w:numId w:val="3"/>
        </w:numPr>
        <w:spacing w:after="200" w:line="276" w:lineRule="auto"/>
        <w:rPr>
          <w:rFonts w:asciiTheme="majorHAnsi" w:hAnsiTheme="majorHAnsi"/>
          <w:sz w:val="22"/>
          <w:szCs w:val="22"/>
        </w:rPr>
      </w:pPr>
      <w:r>
        <w:rPr>
          <w:rFonts w:asciiTheme="majorHAnsi" w:hAnsiTheme="majorHAnsi"/>
          <w:sz w:val="22"/>
          <w:szCs w:val="22"/>
        </w:rPr>
        <w:t>Marginal Standing Facility (MSF)</w:t>
      </w:r>
      <w:r w:rsidR="006F579D">
        <w:rPr>
          <w:rFonts w:asciiTheme="majorHAnsi" w:hAnsiTheme="majorHAnsi"/>
          <w:sz w:val="22"/>
          <w:szCs w:val="22"/>
        </w:rPr>
        <w:t xml:space="preserve"> Rate</w:t>
      </w:r>
      <w:r>
        <w:rPr>
          <w:rFonts w:asciiTheme="majorHAnsi" w:hAnsiTheme="majorHAnsi"/>
          <w:sz w:val="22"/>
          <w:szCs w:val="22"/>
        </w:rPr>
        <w:t xml:space="preserve">: </w:t>
      </w:r>
      <w:r w:rsidR="00CD62F4">
        <w:rPr>
          <w:rFonts w:asciiTheme="majorHAnsi" w:hAnsiTheme="majorHAnsi"/>
          <w:sz w:val="22"/>
          <w:szCs w:val="22"/>
        </w:rPr>
        <w:t>Currently set at 7.7</w:t>
      </w:r>
      <w:r w:rsidR="006F579D">
        <w:rPr>
          <w:rFonts w:asciiTheme="majorHAnsi" w:hAnsiTheme="majorHAnsi"/>
          <w:sz w:val="22"/>
          <w:szCs w:val="22"/>
        </w:rPr>
        <w:t xml:space="preserve">5%, this is the rate at which commercial banks </w:t>
      </w:r>
      <w:r w:rsidR="000A5F15">
        <w:rPr>
          <w:rFonts w:asciiTheme="majorHAnsi" w:hAnsiTheme="majorHAnsi"/>
          <w:sz w:val="22"/>
          <w:szCs w:val="22"/>
        </w:rPr>
        <w:t>can borrow additional overnight money from the RBI (up to a limit of 2% of the NDTL in their SLR portfolio)</w:t>
      </w:r>
      <w:r w:rsidR="00005329">
        <w:rPr>
          <w:rFonts w:asciiTheme="majorHAnsi" w:hAnsiTheme="majorHAnsi"/>
          <w:sz w:val="22"/>
          <w:szCs w:val="22"/>
        </w:rPr>
        <w:t>, at a penal rate of interest (100 BPS over the repo rate). The purpose of the MSF is to avert any unanticipated liquidity shocks to the banking system.</w:t>
      </w:r>
      <w:r w:rsidR="007B1248">
        <w:rPr>
          <w:rFonts w:asciiTheme="majorHAnsi" w:hAnsiTheme="majorHAnsi"/>
          <w:sz w:val="22"/>
          <w:szCs w:val="22"/>
        </w:rPr>
        <w:t xml:space="preserve"> </w:t>
      </w:r>
      <w:r w:rsidR="007B1248" w:rsidRPr="007B1248">
        <w:rPr>
          <w:rFonts w:asciiTheme="majorHAnsi" w:hAnsiTheme="majorHAnsi"/>
          <w:i/>
          <w:sz w:val="22"/>
          <w:szCs w:val="22"/>
        </w:rPr>
        <w:t>(</w:t>
      </w:r>
      <w:r w:rsidR="00862FD0">
        <w:rPr>
          <w:rFonts w:asciiTheme="majorHAnsi" w:hAnsiTheme="majorHAnsi"/>
          <w:i/>
          <w:sz w:val="22"/>
          <w:szCs w:val="22"/>
        </w:rPr>
        <w:t xml:space="preserve">Appendices: </w:t>
      </w:r>
      <w:r w:rsidR="007B1248" w:rsidRPr="007B1248">
        <w:rPr>
          <w:rFonts w:asciiTheme="majorHAnsi" w:hAnsiTheme="majorHAnsi"/>
          <w:i/>
          <w:sz w:val="22"/>
          <w:szCs w:val="22"/>
        </w:rPr>
        <w:t>Tables 1 and 5)</w:t>
      </w:r>
    </w:p>
    <w:p w14:paraId="0B273CCE" w14:textId="2AABB35F" w:rsidR="004607A6" w:rsidRPr="003266F5" w:rsidRDefault="004607A6" w:rsidP="004607A6">
      <w:pPr>
        <w:pStyle w:val="ListParagraph"/>
        <w:spacing w:after="200" w:line="276" w:lineRule="auto"/>
        <w:ind w:left="360"/>
        <w:rPr>
          <w:rFonts w:asciiTheme="majorHAnsi" w:hAnsiTheme="majorHAnsi"/>
          <w:sz w:val="22"/>
          <w:szCs w:val="22"/>
        </w:rPr>
      </w:pPr>
      <w:r w:rsidRPr="004607A6">
        <w:rPr>
          <w:rFonts w:asciiTheme="majorHAnsi" w:hAnsiTheme="majorHAnsi"/>
          <w:b/>
          <w:sz w:val="22"/>
          <w:szCs w:val="22"/>
        </w:rPr>
        <w:t xml:space="preserve">Parallel </w:t>
      </w:r>
      <w:r>
        <w:rPr>
          <w:rFonts w:asciiTheme="majorHAnsi" w:hAnsiTheme="majorHAnsi"/>
          <w:b/>
          <w:sz w:val="22"/>
          <w:szCs w:val="22"/>
        </w:rPr>
        <w:t xml:space="preserve">instrument </w:t>
      </w:r>
      <w:r w:rsidRPr="004607A6">
        <w:rPr>
          <w:rFonts w:asciiTheme="majorHAnsi" w:hAnsiTheme="majorHAnsi"/>
          <w:b/>
          <w:sz w:val="22"/>
          <w:szCs w:val="22"/>
        </w:rPr>
        <w:t xml:space="preserve">in the U.S.: </w:t>
      </w:r>
      <w:r w:rsidR="00D97BF7">
        <w:rPr>
          <w:rFonts w:asciiTheme="majorHAnsi" w:hAnsiTheme="majorHAnsi"/>
          <w:sz w:val="22"/>
          <w:szCs w:val="22"/>
        </w:rPr>
        <w:t>The Federal Reserve uses the discount rate to charge eligible financial institutions to borrow funds on a short-term or emergen</w:t>
      </w:r>
      <w:r w:rsidR="005E3B79">
        <w:rPr>
          <w:rFonts w:asciiTheme="majorHAnsi" w:hAnsiTheme="majorHAnsi"/>
          <w:sz w:val="22"/>
          <w:szCs w:val="22"/>
        </w:rPr>
        <w:t xml:space="preserve">cy basis, through the ‘discount window’. </w:t>
      </w:r>
      <w:r w:rsidR="008A2F43">
        <w:rPr>
          <w:rFonts w:asciiTheme="majorHAnsi" w:hAnsiTheme="majorHAnsi"/>
          <w:sz w:val="22"/>
          <w:szCs w:val="22"/>
        </w:rPr>
        <w:t>This is set above the federal funds rate and is set by the Fed’s Board of Directors</w:t>
      </w:r>
      <w:r w:rsidR="00D76CA1">
        <w:rPr>
          <w:rFonts w:asciiTheme="majorHAnsi" w:hAnsiTheme="majorHAnsi"/>
          <w:sz w:val="22"/>
          <w:szCs w:val="22"/>
        </w:rPr>
        <w:t xml:space="preserve"> </w:t>
      </w:r>
      <w:r w:rsidR="00D76CA1" w:rsidRPr="00D76CA1">
        <w:rPr>
          <w:rFonts w:asciiTheme="majorHAnsi" w:hAnsiTheme="majorHAnsi"/>
          <w:i/>
          <w:sz w:val="22"/>
          <w:szCs w:val="22"/>
        </w:rPr>
        <w:t>(Appendices: Table 1)</w:t>
      </w:r>
      <w:r w:rsidR="008A2F43">
        <w:rPr>
          <w:rFonts w:asciiTheme="majorHAnsi" w:hAnsiTheme="majorHAnsi"/>
          <w:sz w:val="22"/>
          <w:szCs w:val="22"/>
        </w:rPr>
        <w:t>.</w:t>
      </w:r>
    </w:p>
    <w:p w14:paraId="6676D2C0" w14:textId="581AC205" w:rsidR="00005329" w:rsidRPr="00005329" w:rsidRDefault="00515209" w:rsidP="00005329">
      <w:pPr>
        <w:spacing w:after="200" w:line="276" w:lineRule="auto"/>
        <w:rPr>
          <w:rFonts w:asciiTheme="majorHAnsi" w:hAnsiTheme="majorHAnsi"/>
          <w:sz w:val="22"/>
          <w:szCs w:val="22"/>
        </w:rPr>
      </w:pPr>
      <w:r>
        <w:rPr>
          <w:rFonts w:asciiTheme="majorHAnsi" w:hAnsiTheme="majorHAnsi"/>
          <w:sz w:val="22"/>
          <w:szCs w:val="22"/>
        </w:rPr>
        <w:t>The Reverse Repo and the MSF rates are instrumental in determining the corridor for short-term money market interest rates.</w:t>
      </w:r>
    </w:p>
    <w:p w14:paraId="75A839DC" w14:textId="71DEE28A" w:rsidR="00005329" w:rsidRDefault="0048736E" w:rsidP="00A5601F">
      <w:pPr>
        <w:pStyle w:val="ListParagraph"/>
        <w:numPr>
          <w:ilvl w:val="0"/>
          <w:numId w:val="3"/>
        </w:numPr>
        <w:spacing w:after="200" w:line="276" w:lineRule="auto"/>
        <w:rPr>
          <w:rFonts w:asciiTheme="majorHAnsi" w:hAnsiTheme="majorHAnsi"/>
          <w:sz w:val="22"/>
          <w:szCs w:val="22"/>
        </w:rPr>
      </w:pPr>
      <w:r>
        <w:rPr>
          <w:rFonts w:asciiTheme="majorHAnsi" w:hAnsiTheme="majorHAnsi"/>
          <w:sz w:val="22"/>
          <w:szCs w:val="22"/>
        </w:rPr>
        <w:t xml:space="preserve">Bank Rate: </w:t>
      </w:r>
      <w:r w:rsidR="00CB6FED">
        <w:rPr>
          <w:rFonts w:asciiTheme="majorHAnsi" w:hAnsiTheme="majorHAnsi"/>
          <w:sz w:val="22"/>
          <w:szCs w:val="22"/>
        </w:rPr>
        <w:t xml:space="preserve">Currently set at </w:t>
      </w:r>
      <w:r w:rsidR="00CD62F4">
        <w:rPr>
          <w:rFonts w:asciiTheme="majorHAnsi" w:hAnsiTheme="majorHAnsi"/>
          <w:sz w:val="22"/>
          <w:szCs w:val="22"/>
        </w:rPr>
        <w:t>7.7</w:t>
      </w:r>
      <w:r w:rsidR="001E0D2E">
        <w:rPr>
          <w:rFonts w:asciiTheme="majorHAnsi" w:hAnsiTheme="majorHAnsi"/>
          <w:sz w:val="22"/>
          <w:szCs w:val="22"/>
        </w:rPr>
        <w:t xml:space="preserve">5%, this is the rate at which the RBI buys or rediscounts bills of exchange or any other commercial papers. The bank rate is aligned with the MSF rate and moves in tandem with it </w:t>
      </w:r>
      <w:r w:rsidR="00191D4E">
        <w:rPr>
          <w:rFonts w:asciiTheme="majorHAnsi" w:hAnsiTheme="majorHAnsi"/>
          <w:sz w:val="22"/>
          <w:szCs w:val="22"/>
        </w:rPr>
        <w:t>(the MSF rate, in turn, moves in tandem with the repo rates).</w:t>
      </w:r>
      <w:r w:rsidR="007B1248">
        <w:rPr>
          <w:rFonts w:asciiTheme="majorHAnsi" w:hAnsiTheme="majorHAnsi"/>
          <w:sz w:val="22"/>
          <w:szCs w:val="22"/>
        </w:rPr>
        <w:t xml:space="preserve"> </w:t>
      </w:r>
      <w:r w:rsidR="007B1248" w:rsidRPr="007B1248">
        <w:rPr>
          <w:rFonts w:asciiTheme="majorHAnsi" w:hAnsiTheme="majorHAnsi"/>
          <w:i/>
          <w:sz w:val="22"/>
          <w:szCs w:val="22"/>
        </w:rPr>
        <w:t>(</w:t>
      </w:r>
      <w:r w:rsidR="00862FD0">
        <w:rPr>
          <w:rFonts w:asciiTheme="majorHAnsi" w:hAnsiTheme="majorHAnsi"/>
          <w:i/>
          <w:sz w:val="22"/>
          <w:szCs w:val="22"/>
        </w:rPr>
        <w:t xml:space="preserve">Appendices: </w:t>
      </w:r>
      <w:r w:rsidR="007B1248" w:rsidRPr="007B1248">
        <w:rPr>
          <w:rFonts w:asciiTheme="majorHAnsi" w:hAnsiTheme="majorHAnsi"/>
          <w:i/>
          <w:sz w:val="22"/>
          <w:szCs w:val="22"/>
        </w:rPr>
        <w:t>Tables 1 and 6)</w:t>
      </w:r>
    </w:p>
    <w:p w14:paraId="5B03108F" w14:textId="77777777" w:rsidR="00C35D87" w:rsidRDefault="00C35D87" w:rsidP="00C35D87">
      <w:pPr>
        <w:pStyle w:val="ListParagraph"/>
        <w:spacing w:after="200" w:line="276" w:lineRule="auto"/>
        <w:ind w:left="360"/>
        <w:rPr>
          <w:rFonts w:asciiTheme="majorHAnsi" w:hAnsiTheme="majorHAnsi"/>
          <w:sz w:val="22"/>
          <w:szCs w:val="22"/>
        </w:rPr>
      </w:pPr>
    </w:p>
    <w:p w14:paraId="0AFE38D8" w14:textId="7E0A85B3" w:rsidR="00082DD0" w:rsidRDefault="00C36F6A" w:rsidP="00082DD0">
      <w:pPr>
        <w:pStyle w:val="ListParagraph"/>
        <w:numPr>
          <w:ilvl w:val="0"/>
          <w:numId w:val="3"/>
        </w:numPr>
        <w:spacing w:after="200" w:line="276" w:lineRule="auto"/>
        <w:rPr>
          <w:rFonts w:asciiTheme="majorHAnsi" w:hAnsiTheme="majorHAnsi"/>
          <w:sz w:val="22"/>
          <w:szCs w:val="22"/>
        </w:rPr>
      </w:pPr>
      <w:r>
        <w:rPr>
          <w:rFonts w:asciiTheme="majorHAnsi" w:hAnsiTheme="majorHAnsi"/>
          <w:sz w:val="22"/>
          <w:szCs w:val="22"/>
        </w:rPr>
        <w:t xml:space="preserve">Open Market Operations (OMOs): The primary objective of the OMOs of the RBI, as is the case with any central bank, is </w:t>
      </w:r>
      <w:r w:rsidR="001876AE">
        <w:rPr>
          <w:rFonts w:asciiTheme="majorHAnsi" w:hAnsiTheme="majorHAnsi"/>
          <w:sz w:val="22"/>
          <w:szCs w:val="22"/>
        </w:rPr>
        <w:t>to inject additional liquidity into or to absorb ex</w:t>
      </w:r>
      <w:r w:rsidR="00082DD0">
        <w:rPr>
          <w:rFonts w:asciiTheme="majorHAnsi" w:hAnsiTheme="majorHAnsi"/>
          <w:sz w:val="22"/>
          <w:szCs w:val="22"/>
        </w:rPr>
        <w:t xml:space="preserve">cess liquidity from the system, through the </w:t>
      </w:r>
      <w:r w:rsidR="001009A0">
        <w:rPr>
          <w:rFonts w:asciiTheme="majorHAnsi" w:hAnsiTheme="majorHAnsi"/>
          <w:sz w:val="22"/>
          <w:szCs w:val="22"/>
        </w:rPr>
        <w:t>purchase</w:t>
      </w:r>
      <w:r w:rsidR="00082DD0">
        <w:rPr>
          <w:rFonts w:asciiTheme="majorHAnsi" w:hAnsiTheme="majorHAnsi"/>
          <w:sz w:val="22"/>
          <w:szCs w:val="22"/>
        </w:rPr>
        <w:t xml:space="preserve"> or </w:t>
      </w:r>
      <w:r w:rsidR="001009A0">
        <w:rPr>
          <w:rFonts w:asciiTheme="majorHAnsi" w:hAnsiTheme="majorHAnsi"/>
          <w:sz w:val="22"/>
          <w:szCs w:val="22"/>
        </w:rPr>
        <w:t>sale</w:t>
      </w:r>
      <w:r w:rsidR="00082DD0">
        <w:rPr>
          <w:rFonts w:asciiTheme="majorHAnsi" w:hAnsiTheme="majorHAnsi"/>
          <w:sz w:val="22"/>
          <w:szCs w:val="22"/>
        </w:rPr>
        <w:t xml:space="preserve"> of government securities, respectively.</w:t>
      </w:r>
    </w:p>
    <w:p w14:paraId="244D9834" w14:textId="38B31730" w:rsidR="002E5AA6" w:rsidRPr="002E5AA6" w:rsidRDefault="002E5AA6" w:rsidP="002E5AA6">
      <w:pPr>
        <w:pStyle w:val="ListParagraph"/>
        <w:spacing w:after="200" w:line="276" w:lineRule="auto"/>
        <w:ind w:left="360"/>
        <w:rPr>
          <w:rFonts w:asciiTheme="majorHAnsi" w:hAnsiTheme="majorHAnsi"/>
          <w:b/>
          <w:sz w:val="22"/>
          <w:szCs w:val="22"/>
        </w:rPr>
      </w:pPr>
      <w:r w:rsidRPr="002E5AA6">
        <w:rPr>
          <w:rFonts w:asciiTheme="majorHAnsi" w:hAnsiTheme="majorHAnsi"/>
          <w:b/>
          <w:sz w:val="22"/>
          <w:szCs w:val="22"/>
        </w:rPr>
        <w:t xml:space="preserve">Parallel </w:t>
      </w:r>
      <w:r w:rsidR="004607A6">
        <w:rPr>
          <w:rFonts w:asciiTheme="majorHAnsi" w:hAnsiTheme="majorHAnsi"/>
          <w:b/>
          <w:sz w:val="22"/>
          <w:szCs w:val="22"/>
        </w:rPr>
        <w:t xml:space="preserve">instrument </w:t>
      </w:r>
      <w:r w:rsidRPr="002E5AA6">
        <w:rPr>
          <w:rFonts w:asciiTheme="majorHAnsi" w:hAnsiTheme="majorHAnsi"/>
          <w:b/>
          <w:sz w:val="22"/>
          <w:szCs w:val="22"/>
        </w:rPr>
        <w:t xml:space="preserve">in the U.S.: </w:t>
      </w:r>
      <w:r w:rsidR="00D80081">
        <w:rPr>
          <w:rFonts w:asciiTheme="majorHAnsi" w:hAnsiTheme="majorHAnsi"/>
          <w:sz w:val="22"/>
          <w:szCs w:val="22"/>
        </w:rPr>
        <w:t xml:space="preserve">similar to the </w:t>
      </w:r>
      <w:r w:rsidR="00EE5982">
        <w:rPr>
          <w:rFonts w:asciiTheme="majorHAnsi" w:hAnsiTheme="majorHAnsi"/>
          <w:sz w:val="22"/>
          <w:szCs w:val="22"/>
        </w:rPr>
        <w:t>instrument</w:t>
      </w:r>
      <w:r w:rsidR="00D80081">
        <w:rPr>
          <w:rFonts w:asciiTheme="majorHAnsi" w:hAnsiTheme="majorHAnsi"/>
          <w:sz w:val="22"/>
          <w:szCs w:val="22"/>
        </w:rPr>
        <w:t xml:space="preserve"> used by the RBI, </w:t>
      </w:r>
      <w:r w:rsidR="00DA2566">
        <w:rPr>
          <w:rFonts w:asciiTheme="majorHAnsi" w:hAnsiTheme="majorHAnsi"/>
          <w:sz w:val="22"/>
          <w:szCs w:val="22"/>
        </w:rPr>
        <w:t xml:space="preserve">the Federal Reserve uses </w:t>
      </w:r>
      <w:r w:rsidR="00EE5982">
        <w:rPr>
          <w:rFonts w:asciiTheme="majorHAnsi" w:hAnsiTheme="majorHAnsi"/>
          <w:sz w:val="22"/>
          <w:szCs w:val="22"/>
        </w:rPr>
        <w:t xml:space="preserve">OMOs to </w:t>
      </w:r>
      <w:r w:rsidR="000213BD">
        <w:rPr>
          <w:rFonts w:asciiTheme="majorHAnsi" w:hAnsiTheme="majorHAnsi"/>
          <w:sz w:val="22"/>
          <w:szCs w:val="22"/>
        </w:rPr>
        <w:t xml:space="preserve">align the </w:t>
      </w:r>
      <w:r w:rsidR="004A5CD3">
        <w:rPr>
          <w:rFonts w:asciiTheme="majorHAnsi" w:hAnsiTheme="majorHAnsi"/>
          <w:sz w:val="22"/>
          <w:szCs w:val="22"/>
        </w:rPr>
        <w:t xml:space="preserve">federal funds rate with </w:t>
      </w:r>
      <w:r w:rsidR="004D3262">
        <w:rPr>
          <w:rFonts w:asciiTheme="majorHAnsi" w:hAnsiTheme="majorHAnsi"/>
          <w:sz w:val="22"/>
          <w:szCs w:val="22"/>
        </w:rPr>
        <w:t xml:space="preserve">the target set by the Federal Open Market Committee (FOMC). The Federal Reserve Bank of New York </w:t>
      </w:r>
      <w:r w:rsidR="00824518">
        <w:rPr>
          <w:rFonts w:asciiTheme="majorHAnsi" w:hAnsiTheme="majorHAnsi"/>
          <w:sz w:val="22"/>
          <w:szCs w:val="22"/>
        </w:rPr>
        <w:t xml:space="preserve">(FRBNY) </w:t>
      </w:r>
      <w:r w:rsidR="004D3262">
        <w:rPr>
          <w:rFonts w:asciiTheme="majorHAnsi" w:hAnsiTheme="majorHAnsi"/>
          <w:sz w:val="22"/>
          <w:szCs w:val="22"/>
        </w:rPr>
        <w:lastRenderedPageBreak/>
        <w:t xml:space="preserve">conducts OMOs through its trading desk. </w:t>
      </w:r>
      <w:r w:rsidR="00824518">
        <w:rPr>
          <w:rFonts w:asciiTheme="majorHAnsi" w:hAnsiTheme="majorHAnsi"/>
          <w:sz w:val="22"/>
          <w:szCs w:val="22"/>
        </w:rPr>
        <w:t xml:space="preserve">Essentially, if the FOMC lowers the targeted rate, the FRBNY will </w:t>
      </w:r>
      <w:r w:rsidR="00DE4535">
        <w:rPr>
          <w:rFonts w:asciiTheme="majorHAnsi" w:hAnsiTheme="majorHAnsi"/>
          <w:sz w:val="22"/>
          <w:szCs w:val="22"/>
        </w:rPr>
        <w:t>buy securities in the open market, and sell them if the FOMC raises the rate.</w:t>
      </w:r>
    </w:p>
    <w:p w14:paraId="6A4E6CF0" w14:textId="01DC67C7" w:rsidR="00A637ED" w:rsidRPr="007F5620" w:rsidRDefault="00A637ED" w:rsidP="007F5620">
      <w:pPr>
        <w:pStyle w:val="Heading3"/>
        <w:spacing w:after="120"/>
      </w:pPr>
      <w:bookmarkStart w:id="8" w:name="_Toc307682228"/>
      <w:r w:rsidRPr="007F5620">
        <w:t xml:space="preserve">Special </w:t>
      </w:r>
      <w:r w:rsidR="00244714" w:rsidRPr="007F5620">
        <w:t>instruments:</w:t>
      </w:r>
      <w:bookmarkEnd w:id="8"/>
    </w:p>
    <w:p w14:paraId="71174AC8" w14:textId="4A25D590" w:rsidR="00082DD0" w:rsidRDefault="00646BE2" w:rsidP="00A5601F">
      <w:pPr>
        <w:pStyle w:val="ListParagraph"/>
        <w:numPr>
          <w:ilvl w:val="0"/>
          <w:numId w:val="3"/>
        </w:numPr>
        <w:spacing w:after="200" w:line="276" w:lineRule="auto"/>
        <w:rPr>
          <w:rFonts w:asciiTheme="majorHAnsi" w:hAnsiTheme="majorHAnsi"/>
          <w:sz w:val="22"/>
          <w:szCs w:val="22"/>
        </w:rPr>
      </w:pPr>
      <w:r>
        <w:rPr>
          <w:rFonts w:asciiTheme="majorHAnsi" w:hAnsiTheme="majorHAnsi"/>
          <w:sz w:val="22"/>
          <w:szCs w:val="22"/>
        </w:rPr>
        <w:t xml:space="preserve">Market </w:t>
      </w:r>
      <w:proofErr w:type="spellStart"/>
      <w:r>
        <w:rPr>
          <w:rFonts w:asciiTheme="majorHAnsi" w:hAnsiTheme="majorHAnsi"/>
          <w:sz w:val="22"/>
          <w:szCs w:val="22"/>
        </w:rPr>
        <w:t>Stabilisation</w:t>
      </w:r>
      <w:proofErr w:type="spellEnd"/>
      <w:r>
        <w:rPr>
          <w:rFonts w:asciiTheme="majorHAnsi" w:hAnsiTheme="majorHAnsi"/>
          <w:sz w:val="22"/>
          <w:szCs w:val="22"/>
        </w:rPr>
        <w:t xml:space="preserve"> Scheme (MSS): </w:t>
      </w:r>
      <w:r w:rsidR="00D5576C">
        <w:rPr>
          <w:rFonts w:asciiTheme="majorHAnsi" w:hAnsiTheme="majorHAnsi"/>
          <w:sz w:val="22"/>
          <w:szCs w:val="22"/>
        </w:rPr>
        <w:t xml:space="preserve">MSS instruments are primarily short-dated government securities and treasury bills, issued to provide the RBI with additional tools to intervene in the </w:t>
      </w:r>
      <w:r w:rsidR="00025245">
        <w:rPr>
          <w:rFonts w:asciiTheme="majorHAnsi" w:hAnsiTheme="majorHAnsi"/>
          <w:sz w:val="22"/>
          <w:szCs w:val="22"/>
        </w:rPr>
        <w:t>mone</w:t>
      </w:r>
      <w:r w:rsidR="00B90EF3">
        <w:rPr>
          <w:rFonts w:asciiTheme="majorHAnsi" w:hAnsiTheme="majorHAnsi"/>
          <w:sz w:val="22"/>
          <w:szCs w:val="22"/>
        </w:rPr>
        <w:t>y market (to absorb surplus liquidity that might arise from large capital inflows). The cash thus absorbed from the market is held in a separate central government account under the RBI</w:t>
      </w:r>
      <w:r w:rsidR="00681084">
        <w:rPr>
          <w:rFonts w:asciiTheme="majorHAnsi" w:hAnsiTheme="majorHAnsi"/>
          <w:sz w:val="22"/>
          <w:szCs w:val="22"/>
        </w:rPr>
        <w:t>, and counts toward the prescribed SLR limits for banks.</w:t>
      </w:r>
    </w:p>
    <w:p w14:paraId="5582DDC3" w14:textId="3F6B6657" w:rsidR="00577FB7" w:rsidRPr="000E020C" w:rsidRDefault="00AA6B80" w:rsidP="000814C1">
      <w:pPr>
        <w:pStyle w:val="ListParagraph"/>
        <w:numPr>
          <w:ilvl w:val="0"/>
          <w:numId w:val="3"/>
        </w:numPr>
        <w:spacing w:after="200" w:line="276" w:lineRule="auto"/>
        <w:rPr>
          <w:rFonts w:asciiTheme="majorHAnsi" w:hAnsiTheme="majorHAnsi"/>
          <w:sz w:val="22"/>
          <w:szCs w:val="22"/>
        </w:rPr>
      </w:pPr>
      <w:r>
        <w:rPr>
          <w:rFonts w:asciiTheme="majorHAnsi" w:hAnsiTheme="majorHAnsi"/>
          <w:sz w:val="22"/>
          <w:szCs w:val="22"/>
        </w:rPr>
        <w:t xml:space="preserve">Refinance Facilities: These are used to provide liquidity to </w:t>
      </w:r>
      <w:r w:rsidR="00F610BD">
        <w:rPr>
          <w:rFonts w:asciiTheme="majorHAnsi" w:hAnsiTheme="majorHAnsi"/>
          <w:sz w:val="22"/>
          <w:szCs w:val="22"/>
        </w:rPr>
        <w:t>specific sectors (depending on the current policy thrust), at a rate linked to the prevalent repo rate. However, the RBI has progressively de-emphasized sector-specific policies</w:t>
      </w:r>
      <w:r w:rsidR="00577FB7">
        <w:rPr>
          <w:rFonts w:asciiTheme="majorHAnsi" w:hAnsiTheme="majorHAnsi"/>
          <w:sz w:val="22"/>
          <w:szCs w:val="22"/>
        </w:rPr>
        <w:t xml:space="preserve"> over the past few years, since they are disruptive to the normal liquidity transfer mechanism.</w:t>
      </w:r>
    </w:p>
    <w:p w14:paraId="56908AA5" w14:textId="0223CCDD" w:rsidR="000E020C" w:rsidRPr="002C3516" w:rsidRDefault="00AB5306" w:rsidP="002C3516">
      <w:pPr>
        <w:pStyle w:val="Heading2"/>
        <w:spacing w:before="0" w:after="120"/>
      </w:pPr>
      <w:bookmarkStart w:id="9" w:name="_Toc307682229"/>
      <w:r w:rsidRPr="002C3516">
        <w:t>Foreign Exchange Management</w:t>
      </w:r>
      <w:bookmarkEnd w:id="9"/>
    </w:p>
    <w:p w14:paraId="33FE00EC" w14:textId="0D49B826" w:rsidR="0091796A" w:rsidRPr="000E020C" w:rsidRDefault="00BE167B" w:rsidP="000E020C">
      <w:pPr>
        <w:spacing w:after="200" w:line="276" w:lineRule="auto"/>
        <w:rPr>
          <w:rFonts w:asciiTheme="majorHAnsi" w:hAnsiTheme="majorHAnsi"/>
          <w:sz w:val="22"/>
          <w:szCs w:val="22"/>
        </w:rPr>
      </w:pPr>
      <w:r w:rsidRPr="000E020C">
        <w:rPr>
          <w:rFonts w:asciiTheme="majorHAnsi" w:hAnsiTheme="majorHAnsi"/>
          <w:sz w:val="22"/>
          <w:szCs w:val="22"/>
        </w:rPr>
        <w:t xml:space="preserve">Prior to the </w:t>
      </w:r>
      <w:r w:rsidR="00E803A2" w:rsidRPr="000E020C">
        <w:rPr>
          <w:rFonts w:asciiTheme="majorHAnsi" w:hAnsiTheme="majorHAnsi"/>
          <w:sz w:val="22"/>
          <w:szCs w:val="22"/>
        </w:rPr>
        <w:t>Ne</w:t>
      </w:r>
      <w:r w:rsidR="00003D0C" w:rsidRPr="000E020C">
        <w:rPr>
          <w:rFonts w:asciiTheme="majorHAnsi" w:hAnsiTheme="majorHAnsi"/>
          <w:sz w:val="22"/>
          <w:szCs w:val="22"/>
        </w:rPr>
        <w:t xml:space="preserve">w Economic Policy (NEP) of 1991, </w:t>
      </w:r>
      <w:r w:rsidR="008D3F7D" w:rsidRPr="000E020C">
        <w:rPr>
          <w:rFonts w:asciiTheme="majorHAnsi" w:hAnsiTheme="majorHAnsi"/>
          <w:sz w:val="22"/>
          <w:szCs w:val="22"/>
        </w:rPr>
        <w:t xml:space="preserve">foreign exchange </w:t>
      </w:r>
      <w:r w:rsidR="00772B98" w:rsidRPr="000E020C">
        <w:rPr>
          <w:rFonts w:asciiTheme="majorHAnsi" w:hAnsiTheme="majorHAnsi"/>
          <w:sz w:val="22"/>
          <w:szCs w:val="22"/>
        </w:rPr>
        <w:t>was heavily regulated</w:t>
      </w:r>
      <w:r w:rsidR="0065013F" w:rsidRPr="000E020C">
        <w:rPr>
          <w:rFonts w:asciiTheme="majorHAnsi" w:hAnsiTheme="majorHAnsi"/>
          <w:sz w:val="22"/>
          <w:szCs w:val="22"/>
        </w:rPr>
        <w:t xml:space="preserve"> in India, with dealings in foreign exchange payments outside India, and trade in currency notes, bullion, foreign securities and immovable assets </w:t>
      </w:r>
      <w:r w:rsidR="00D61243" w:rsidRPr="000E020C">
        <w:rPr>
          <w:rFonts w:asciiTheme="majorHAnsi" w:hAnsiTheme="majorHAnsi"/>
          <w:sz w:val="22"/>
          <w:szCs w:val="22"/>
        </w:rPr>
        <w:t xml:space="preserve">controlled directly by the RBI and the Government of India. The NEP introduced a slew of measures that liberalized </w:t>
      </w:r>
      <w:r w:rsidR="006562D9" w:rsidRPr="000E020C">
        <w:rPr>
          <w:rFonts w:asciiTheme="majorHAnsi" w:hAnsiTheme="majorHAnsi"/>
          <w:sz w:val="22"/>
          <w:szCs w:val="22"/>
        </w:rPr>
        <w:t>foreign exchange management beginning in 1991 and, since then, India’s external sector has grown substantially – from a build-up in forex reserves, to growth in foreign trade, India’s investments abroad and</w:t>
      </w:r>
      <w:r w:rsidR="0091796A" w:rsidRPr="000E020C">
        <w:rPr>
          <w:rFonts w:asciiTheme="majorHAnsi" w:hAnsiTheme="majorHAnsi"/>
          <w:sz w:val="22"/>
          <w:szCs w:val="22"/>
        </w:rPr>
        <w:t xml:space="preserve"> FII participation in India’s capital markets.</w:t>
      </w:r>
    </w:p>
    <w:p w14:paraId="375D030F" w14:textId="2FF09E2D" w:rsidR="00295118" w:rsidRDefault="00295118" w:rsidP="00295118">
      <w:pPr>
        <w:pStyle w:val="ListParagraph"/>
        <w:numPr>
          <w:ilvl w:val="0"/>
          <w:numId w:val="4"/>
        </w:numPr>
        <w:spacing w:after="200" w:line="276" w:lineRule="auto"/>
        <w:ind w:left="284"/>
        <w:rPr>
          <w:rFonts w:asciiTheme="majorHAnsi" w:hAnsiTheme="majorHAnsi"/>
          <w:sz w:val="22"/>
          <w:szCs w:val="22"/>
        </w:rPr>
      </w:pPr>
      <w:r w:rsidRPr="00295118">
        <w:rPr>
          <w:rFonts w:asciiTheme="majorHAnsi" w:hAnsiTheme="majorHAnsi"/>
          <w:sz w:val="22"/>
          <w:szCs w:val="22"/>
        </w:rPr>
        <w:t>Foreign Investment</w:t>
      </w:r>
      <w:r w:rsidR="00F67FB3">
        <w:rPr>
          <w:rFonts w:asciiTheme="majorHAnsi" w:hAnsiTheme="majorHAnsi"/>
          <w:sz w:val="22"/>
          <w:szCs w:val="22"/>
        </w:rPr>
        <w:t xml:space="preserve"> in India</w:t>
      </w:r>
      <w:r w:rsidRPr="00295118">
        <w:rPr>
          <w:rFonts w:asciiTheme="majorHAnsi" w:hAnsiTheme="majorHAnsi"/>
          <w:sz w:val="22"/>
          <w:szCs w:val="22"/>
        </w:rPr>
        <w:t xml:space="preserve">: </w:t>
      </w:r>
      <w:r>
        <w:rPr>
          <w:rFonts w:asciiTheme="majorHAnsi" w:hAnsiTheme="majorHAnsi"/>
          <w:sz w:val="22"/>
          <w:szCs w:val="22"/>
        </w:rPr>
        <w:t xml:space="preserve">The RBI now permits foreign investment </w:t>
      </w:r>
      <w:r w:rsidR="007A60F4">
        <w:rPr>
          <w:rFonts w:asciiTheme="majorHAnsi" w:hAnsiTheme="majorHAnsi"/>
          <w:sz w:val="22"/>
          <w:szCs w:val="22"/>
        </w:rPr>
        <w:t xml:space="preserve">in almost all sectors, with a few exceptions for national security reasons. Additionally, FIIs are allowed to invest in all equity securities, and in </w:t>
      </w:r>
      <w:r w:rsidR="00F67FB3">
        <w:rPr>
          <w:rFonts w:asciiTheme="majorHAnsi" w:hAnsiTheme="majorHAnsi"/>
          <w:sz w:val="22"/>
          <w:szCs w:val="22"/>
        </w:rPr>
        <w:t>Government Securities, corporate bonds and mutual funds.</w:t>
      </w:r>
    </w:p>
    <w:p w14:paraId="3D39B4F3" w14:textId="71C4EFA6" w:rsidR="00295118" w:rsidRDefault="00F67FB3" w:rsidP="00295118">
      <w:pPr>
        <w:pStyle w:val="ListParagraph"/>
        <w:numPr>
          <w:ilvl w:val="0"/>
          <w:numId w:val="4"/>
        </w:numPr>
        <w:spacing w:after="200" w:line="276" w:lineRule="auto"/>
        <w:ind w:left="284"/>
        <w:rPr>
          <w:rFonts w:asciiTheme="majorHAnsi" w:hAnsiTheme="majorHAnsi"/>
          <w:sz w:val="22"/>
          <w:szCs w:val="22"/>
        </w:rPr>
      </w:pPr>
      <w:r>
        <w:rPr>
          <w:rFonts w:asciiTheme="majorHAnsi" w:hAnsiTheme="majorHAnsi"/>
          <w:sz w:val="22"/>
          <w:szCs w:val="22"/>
        </w:rPr>
        <w:t xml:space="preserve">External Commercial Borrowings (ECB): Prior to the NEP, Indian companies were heavily restricted from accessing </w:t>
      </w:r>
      <w:r w:rsidR="00B048EC">
        <w:rPr>
          <w:rFonts w:asciiTheme="majorHAnsi" w:hAnsiTheme="majorHAnsi"/>
          <w:sz w:val="22"/>
          <w:szCs w:val="22"/>
        </w:rPr>
        <w:t>any foreign capital, which substantially raised their cost of capital. Today, Indian companies are allowed to raise ECBs including all commercial bank loans, buyers’ or suppliers’ credit, and securitized instruments.</w:t>
      </w:r>
    </w:p>
    <w:p w14:paraId="7115A88C" w14:textId="77777777" w:rsidR="0030176B" w:rsidRDefault="00A026D9" w:rsidP="0030176B">
      <w:pPr>
        <w:pStyle w:val="ListParagraph"/>
        <w:numPr>
          <w:ilvl w:val="0"/>
          <w:numId w:val="4"/>
        </w:numPr>
        <w:spacing w:after="200" w:line="276" w:lineRule="auto"/>
        <w:ind w:left="284"/>
        <w:rPr>
          <w:rFonts w:asciiTheme="majorHAnsi" w:hAnsiTheme="majorHAnsi"/>
          <w:sz w:val="22"/>
          <w:szCs w:val="22"/>
        </w:rPr>
      </w:pPr>
      <w:r>
        <w:rPr>
          <w:rFonts w:asciiTheme="majorHAnsi" w:hAnsiTheme="majorHAnsi"/>
          <w:sz w:val="22"/>
          <w:szCs w:val="22"/>
        </w:rPr>
        <w:t xml:space="preserve">Foreign Exchange Reserves Management: </w:t>
      </w:r>
      <w:r w:rsidR="00F53637">
        <w:rPr>
          <w:rFonts w:asciiTheme="majorHAnsi" w:hAnsiTheme="majorHAnsi"/>
          <w:sz w:val="22"/>
          <w:szCs w:val="22"/>
        </w:rPr>
        <w:t xml:space="preserve">The Forex Reserves Management policies of the RBI are guided by </w:t>
      </w:r>
      <w:r w:rsidR="000E0806">
        <w:rPr>
          <w:rFonts w:asciiTheme="majorHAnsi" w:hAnsiTheme="majorHAnsi"/>
          <w:sz w:val="22"/>
          <w:szCs w:val="22"/>
        </w:rPr>
        <w:t>the fundamental objectives of safety, liquidity and returns. To this end, the</w:t>
      </w:r>
      <w:r w:rsidR="00766269">
        <w:rPr>
          <w:rFonts w:asciiTheme="majorHAnsi" w:hAnsiTheme="majorHAnsi"/>
          <w:sz w:val="22"/>
          <w:szCs w:val="22"/>
        </w:rPr>
        <w:t xml:space="preserve"> RBI invests reserves only in the following instruments: 1) Deposits with the Bank of International Settlements (BIS) and other Central Banks, 2)</w:t>
      </w:r>
      <w:r w:rsidR="006F3506">
        <w:rPr>
          <w:rFonts w:asciiTheme="majorHAnsi" w:hAnsiTheme="majorHAnsi"/>
          <w:sz w:val="22"/>
          <w:szCs w:val="22"/>
        </w:rPr>
        <w:t xml:space="preserve"> Deposits with Foreign Commercial Banks, 3) Debt instruments in sovereign or sovereign-guaranteed </w:t>
      </w:r>
      <w:r w:rsidR="00485071">
        <w:rPr>
          <w:rFonts w:asciiTheme="majorHAnsi" w:hAnsiTheme="majorHAnsi"/>
          <w:sz w:val="22"/>
          <w:szCs w:val="22"/>
        </w:rPr>
        <w:t>liabilities of not more than 10 years, 4) Certain permitted types of derivatives</w:t>
      </w:r>
      <w:r w:rsidR="009D2A6D">
        <w:rPr>
          <w:rFonts w:asciiTheme="majorHAnsi" w:hAnsiTheme="majorHAnsi"/>
          <w:sz w:val="22"/>
          <w:szCs w:val="22"/>
        </w:rPr>
        <w:t>, and 5) Other instruments that are approved by the Central Board of the RBI and are in accordance with the Central Bank’s overall objectives.</w:t>
      </w:r>
    </w:p>
    <w:p w14:paraId="75FAD2BD" w14:textId="77777777" w:rsidR="00E34E44" w:rsidRDefault="00E34E44">
      <w:pPr>
        <w:rPr>
          <w:rFonts w:asciiTheme="majorHAnsi" w:eastAsiaTheme="majorEastAsia" w:hAnsiTheme="majorHAnsi" w:cstheme="majorBidi"/>
          <w:b/>
          <w:bCs/>
          <w:color w:val="4F81BD" w:themeColor="accent1"/>
          <w:sz w:val="26"/>
          <w:szCs w:val="26"/>
        </w:rPr>
      </w:pPr>
      <w:r>
        <w:br w:type="page"/>
      </w:r>
    </w:p>
    <w:p w14:paraId="145DE91E" w14:textId="4C4B0B3C" w:rsidR="00B048EC" w:rsidRPr="0030176B" w:rsidRDefault="00AA3C8F" w:rsidP="0030176B">
      <w:pPr>
        <w:pStyle w:val="Heading2"/>
        <w:spacing w:before="0" w:after="120"/>
        <w:rPr>
          <w:sz w:val="22"/>
          <w:szCs w:val="22"/>
        </w:rPr>
      </w:pPr>
      <w:bookmarkStart w:id="10" w:name="_Toc307682230"/>
      <w:r w:rsidRPr="002C3516">
        <w:lastRenderedPageBreak/>
        <w:t>Exchange Rate Policies</w:t>
      </w:r>
      <w:r w:rsidR="00877E1F" w:rsidRPr="002C3516">
        <w:t xml:space="preserve"> in India</w:t>
      </w:r>
      <w:bookmarkEnd w:id="10"/>
    </w:p>
    <w:p w14:paraId="423D150A" w14:textId="4BB502F6" w:rsidR="00877E1F" w:rsidRDefault="00F563ED" w:rsidP="0030176B">
      <w:pPr>
        <w:spacing w:after="200" w:line="276" w:lineRule="auto"/>
        <w:rPr>
          <w:rFonts w:asciiTheme="majorHAnsi" w:hAnsiTheme="majorHAnsi"/>
          <w:sz w:val="22"/>
          <w:szCs w:val="22"/>
        </w:rPr>
      </w:pPr>
      <w:r>
        <w:rPr>
          <w:rFonts w:asciiTheme="majorHAnsi" w:hAnsiTheme="majorHAnsi"/>
          <w:sz w:val="22"/>
          <w:szCs w:val="22"/>
        </w:rPr>
        <w:t>The RBI’s exchange rate policies have evolved substantially since independence (after 1947), with three defining periods:</w:t>
      </w:r>
    </w:p>
    <w:p w14:paraId="28CC9676" w14:textId="02922659" w:rsidR="00F563ED" w:rsidRDefault="00F563ED" w:rsidP="0030176B">
      <w:pPr>
        <w:spacing w:after="200" w:line="276" w:lineRule="auto"/>
        <w:rPr>
          <w:rFonts w:asciiTheme="majorHAnsi" w:hAnsiTheme="majorHAnsi"/>
          <w:sz w:val="22"/>
          <w:szCs w:val="22"/>
        </w:rPr>
      </w:pPr>
      <w:r>
        <w:rPr>
          <w:rFonts w:asciiTheme="majorHAnsi" w:hAnsiTheme="majorHAnsi"/>
          <w:sz w:val="22"/>
          <w:szCs w:val="22"/>
        </w:rPr>
        <w:t xml:space="preserve">1947 – 1975: </w:t>
      </w:r>
      <w:r w:rsidR="00354581">
        <w:rPr>
          <w:rFonts w:asciiTheme="majorHAnsi" w:hAnsiTheme="majorHAnsi"/>
          <w:sz w:val="22"/>
          <w:szCs w:val="22"/>
        </w:rPr>
        <w:t>Fixed exchange rate regime, based on the prevalent Bretton Woods system, with the INR pegged to the Pound Sterling.</w:t>
      </w:r>
    </w:p>
    <w:p w14:paraId="335BE161" w14:textId="7904D6BB" w:rsidR="00D517B8" w:rsidRDefault="00D517B8" w:rsidP="0030176B">
      <w:pPr>
        <w:spacing w:after="200" w:line="276" w:lineRule="auto"/>
        <w:rPr>
          <w:rFonts w:asciiTheme="majorHAnsi" w:hAnsiTheme="majorHAnsi"/>
          <w:sz w:val="22"/>
          <w:szCs w:val="22"/>
        </w:rPr>
      </w:pPr>
      <w:r>
        <w:rPr>
          <w:rFonts w:asciiTheme="majorHAnsi" w:hAnsiTheme="majorHAnsi"/>
          <w:sz w:val="22"/>
          <w:szCs w:val="22"/>
        </w:rPr>
        <w:t>1975 – 1991: Daily exchange rate movements determined by undisclosed basket of currencies of major trading partners</w:t>
      </w:r>
      <w:r w:rsidR="00DD3E9B">
        <w:rPr>
          <w:rFonts w:asciiTheme="majorHAnsi" w:hAnsiTheme="majorHAnsi"/>
          <w:sz w:val="22"/>
          <w:szCs w:val="22"/>
        </w:rPr>
        <w:t>.</w:t>
      </w:r>
    </w:p>
    <w:p w14:paraId="49AEC8A2" w14:textId="57D4B799" w:rsidR="00DD3E9B" w:rsidRDefault="00DD3E9B" w:rsidP="0030176B">
      <w:pPr>
        <w:spacing w:after="200" w:line="276" w:lineRule="auto"/>
        <w:rPr>
          <w:rFonts w:asciiTheme="majorHAnsi" w:hAnsiTheme="majorHAnsi"/>
          <w:sz w:val="22"/>
          <w:szCs w:val="22"/>
        </w:rPr>
      </w:pPr>
      <w:r>
        <w:rPr>
          <w:rFonts w:asciiTheme="majorHAnsi" w:hAnsiTheme="majorHAnsi"/>
          <w:sz w:val="22"/>
          <w:szCs w:val="22"/>
        </w:rPr>
        <w:t xml:space="preserve">1991 – : </w:t>
      </w:r>
      <w:r w:rsidR="00713F8A">
        <w:rPr>
          <w:rFonts w:asciiTheme="majorHAnsi" w:hAnsiTheme="majorHAnsi"/>
          <w:sz w:val="22"/>
          <w:szCs w:val="22"/>
        </w:rPr>
        <w:t xml:space="preserve">The beginning of market-driven exchange rates, in two phases: 1) </w:t>
      </w:r>
      <w:r w:rsidR="00804287">
        <w:rPr>
          <w:rFonts w:asciiTheme="majorHAnsi" w:hAnsiTheme="majorHAnsi"/>
          <w:sz w:val="22"/>
          <w:szCs w:val="22"/>
        </w:rPr>
        <w:t xml:space="preserve">Introduction of the </w:t>
      </w:r>
      <w:proofErr w:type="spellStart"/>
      <w:r w:rsidR="00804287">
        <w:rPr>
          <w:rFonts w:asciiTheme="majorHAnsi" w:hAnsiTheme="majorHAnsi"/>
          <w:sz w:val="22"/>
          <w:szCs w:val="22"/>
        </w:rPr>
        <w:t>Liberalised</w:t>
      </w:r>
      <w:proofErr w:type="spellEnd"/>
      <w:r w:rsidR="00804287">
        <w:rPr>
          <w:rFonts w:asciiTheme="majorHAnsi" w:hAnsiTheme="majorHAnsi"/>
          <w:sz w:val="22"/>
          <w:szCs w:val="22"/>
        </w:rPr>
        <w:t xml:space="preserve"> Exchange Rate Management System </w:t>
      </w:r>
      <w:r w:rsidR="005A615B">
        <w:rPr>
          <w:rFonts w:asciiTheme="majorHAnsi" w:hAnsiTheme="majorHAnsi"/>
          <w:sz w:val="22"/>
          <w:szCs w:val="22"/>
        </w:rPr>
        <w:t xml:space="preserve">(LERMS) in March 1992, which instituted a dual exchange rate system, and 2) </w:t>
      </w:r>
      <w:r w:rsidR="00640A32">
        <w:rPr>
          <w:rFonts w:asciiTheme="majorHAnsi" w:hAnsiTheme="majorHAnsi"/>
          <w:sz w:val="22"/>
          <w:szCs w:val="22"/>
        </w:rPr>
        <w:t xml:space="preserve">A single and unified market-determined exchange rate system </w:t>
      </w:r>
      <w:r w:rsidR="008E09C0">
        <w:rPr>
          <w:rFonts w:asciiTheme="majorHAnsi" w:hAnsiTheme="majorHAnsi"/>
          <w:sz w:val="22"/>
          <w:szCs w:val="22"/>
        </w:rPr>
        <w:t>replaced the LERMS in March 1993</w:t>
      </w:r>
      <w:r w:rsidR="00640A32">
        <w:rPr>
          <w:rFonts w:asciiTheme="majorHAnsi" w:hAnsiTheme="majorHAnsi"/>
          <w:sz w:val="22"/>
          <w:szCs w:val="22"/>
        </w:rPr>
        <w:t>, leaving exchange rates free to respond to the forces of demand and supply.</w:t>
      </w:r>
    </w:p>
    <w:p w14:paraId="1694439F" w14:textId="6AAE071C" w:rsidR="008E09C0" w:rsidRDefault="008E09C0" w:rsidP="0030176B">
      <w:pPr>
        <w:spacing w:after="200" w:line="276" w:lineRule="auto"/>
        <w:rPr>
          <w:rFonts w:asciiTheme="majorHAnsi" w:hAnsiTheme="majorHAnsi"/>
          <w:sz w:val="22"/>
          <w:szCs w:val="22"/>
        </w:rPr>
      </w:pPr>
      <w:r>
        <w:rPr>
          <w:rFonts w:asciiTheme="majorHAnsi" w:hAnsiTheme="majorHAnsi"/>
          <w:sz w:val="22"/>
          <w:szCs w:val="22"/>
        </w:rPr>
        <w:t>Thus, over the years, the RBI has gone from a regulatory role to that of an overseer. The Central Bank intervenes in the forex market only in cases of extreme v</w:t>
      </w:r>
      <w:r w:rsidR="00401EBF">
        <w:rPr>
          <w:rFonts w:asciiTheme="majorHAnsi" w:hAnsiTheme="majorHAnsi"/>
          <w:sz w:val="22"/>
          <w:szCs w:val="22"/>
        </w:rPr>
        <w:t>olatility and to ensure their smooth functioning. When it does, it intervenes by buying or selling foreign currencies, either directly or through Public Sector Banks.</w:t>
      </w:r>
    </w:p>
    <w:p w14:paraId="7010311D" w14:textId="01F6C62B" w:rsidR="001B1A55" w:rsidRPr="002C3516" w:rsidRDefault="001B1A55" w:rsidP="002C3516">
      <w:pPr>
        <w:pStyle w:val="Heading2"/>
        <w:spacing w:before="0" w:after="120"/>
      </w:pPr>
      <w:bookmarkStart w:id="11" w:name="_Toc307682231"/>
      <w:r w:rsidRPr="002C3516">
        <w:t>Payment and Settlement Systems</w:t>
      </w:r>
      <w:bookmarkEnd w:id="11"/>
    </w:p>
    <w:p w14:paraId="38391C13" w14:textId="225E4348" w:rsidR="001B1A55" w:rsidRDefault="00D71A9C" w:rsidP="001708D8">
      <w:pPr>
        <w:spacing w:after="200" w:line="276" w:lineRule="auto"/>
        <w:ind w:left="-76" w:firstLine="76"/>
        <w:rPr>
          <w:rFonts w:asciiTheme="majorHAnsi" w:hAnsiTheme="majorHAnsi"/>
          <w:sz w:val="22"/>
          <w:szCs w:val="22"/>
        </w:rPr>
      </w:pPr>
      <w:r>
        <w:rPr>
          <w:rFonts w:asciiTheme="majorHAnsi" w:hAnsiTheme="majorHAnsi"/>
          <w:sz w:val="22"/>
          <w:szCs w:val="22"/>
        </w:rPr>
        <w:t>Currently, the payment system</w:t>
      </w:r>
      <w:r w:rsidR="008C492B">
        <w:rPr>
          <w:rFonts w:asciiTheme="majorHAnsi" w:hAnsiTheme="majorHAnsi"/>
          <w:sz w:val="22"/>
          <w:szCs w:val="22"/>
        </w:rPr>
        <w:t>s in India are split into three broad categories:</w:t>
      </w:r>
    </w:p>
    <w:p w14:paraId="41CC5B06" w14:textId="615CAC31" w:rsidR="008C492B" w:rsidRDefault="008C492B" w:rsidP="00EB5909">
      <w:pPr>
        <w:pStyle w:val="ListParagraph"/>
        <w:numPr>
          <w:ilvl w:val="0"/>
          <w:numId w:val="5"/>
        </w:numPr>
        <w:spacing w:after="200" w:line="276" w:lineRule="auto"/>
        <w:rPr>
          <w:rFonts w:asciiTheme="majorHAnsi" w:hAnsiTheme="majorHAnsi"/>
          <w:sz w:val="22"/>
          <w:szCs w:val="22"/>
        </w:rPr>
      </w:pPr>
      <w:r>
        <w:rPr>
          <w:rFonts w:asciiTheme="majorHAnsi" w:hAnsiTheme="majorHAnsi"/>
          <w:sz w:val="22"/>
          <w:szCs w:val="22"/>
        </w:rPr>
        <w:t>Paper-based Payments</w:t>
      </w:r>
    </w:p>
    <w:p w14:paraId="3B46C312" w14:textId="69B11652" w:rsidR="00E3347E" w:rsidRPr="00E3347E" w:rsidRDefault="00E3347E" w:rsidP="001708D8">
      <w:pPr>
        <w:spacing w:after="200" w:line="276" w:lineRule="auto"/>
        <w:rPr>
          <w:rFonts w:asciiTheme="majorHAnsi" w:hAnsiTheme="majorHAnsi"/>
          <w:sz w:val="22"/>
          <w:szCs w:val="22"/>
        </w:rPr>
      </w:pPr>
      <w:r>
        <w:rPr>
          <w:rFonts w:asciiTheme="majorHAnsi" w:hAnsiTheme="majorHAnsi"/>
          <w:sz w:val="22"/>
          <w:szCs w:val="22"/>
        </w:rPr>
        <w:t xml:space="preserve">Paper-based instruments </w:t>
      </w:r>
      <w:r w:rsidR="00736EB4">
        <w:rPr>
          <w:rFonts w:asciiTheme="majorHAnsi" w:hAnsiTheme="majorHAnsi"/>
          <w:sz w:val="22"/>
          <w:szCs w:val="22"/>
        </w:rPr>
        <w:t>in India, which include checks</w:t>
      </w:r>
      <w:r w:rsidR="00453E50">
        <w:rPr>
          <w:rFonts w:asciiTheme="majorHAnsi" w:hAnsiTheme="majorHAnsi"/>
          <w:sz w:val="22"/>
          <w:szCs w:val="22"/>
        </w:rPr>
        <w:t xml:space="preserve"> and demand drafts, account for nearly 60% of the volume of non-cash</w:t>
      </w:r>
      <w:r w:rsidR="0031320A">
        <w:rPr>
          <w:rFonts w:asciiTheme="majorHAnsi" w:hAnsiTheme="majorHAnsi"/>
          <w:sz w:val="22"/>
          <w:szCs w:val="22"/>
        </w:rPr>
        <w:t xml:space="preserve"> transactions, but a mere 11% of the value. </w:t>
      </w:r>
      <w:r w:rsidR="005028C2">
        <w:rPr>
          <w:rFonts w:asciiTheme="majorHAnsi" w:hAnsiTheme="majorHAnsi"/>
          <w:sz w:val="22"/>
          <w:szCs w:val="22"/>
        </w:rPr>
        <w:t xml:space="preserve">To facilitate these modes, the RBI has introduced two important </w:t>
      </w:r>
      <w:r w:rsidR="00324AD6">
        <w:rPr>
          <w:rFonts w:asciiTheme="majorHAnsi" w:hAnsiTheme="majorHAnsi"/>
          <w:sz w:val="22"/>
          <w:szCs w:val="22"/>
        </w:rPr>
        <w:t xml:space="preserve">systems in recent years: a) MICR technology for speeding up the processing of </w:t>
      </w:r>
      <w:r w:rsidR="00736EB4">
        <w:rPr>
          <w:rFonts w:asciiTheme="majorHAnsi" w:hAnsiTheme="majorHAnsi"/>
          <w:sz w:val="22"/>
          <w:szCs w:val="22"/>
        </w:rPr>
        <w:t>checks</w:t>
      </w:r>
      <w:r w:rsidR="00324AD6">
        <w:rPr>
          <w:rFonts w:asciiTheme="majorHAnsi" w:hAnsiTheme="majorHAnsi"/>
          <w:sz w:val="22"/>
          <w:szCs w:val="22"/>
        </w:rPr>
        <w:t xml:space="preserve">, and b) </w:t>
      </w:r>
      <w:r w:rsidR="00736EB4">
        <w:rPr>
          <w:rFonts w:asciiTheme="majorHAnsi" w:hAnsiTheme="majorHAnsi"/>
          <w:sz w:val="22"/>
          <w:szCs w:val="22"/>
        </w:rPr>
        <w:t>a Check</w:t>
      </w:r>
      <w:r w:rsidR="009F1567">
        <w:rPr>
          <w:rFonts w:asciiTheme="majorHAnsi" w:hAnsiTheme="majorHAnsi"/>
          <w:sz w:val="22"/>
          <w:szCs w:val="22"/>
        </w:rPr>
        <w:t xml:space="preserve"> Truncation System </w:t>
      </w:r>
      <w:r w:rsidR="008E7E93">
        <w:rPr>
          <w:rFonts w:asciiTheme="majorHAnsi" w:hAnsiTheme="majorHAnsi"/>
          <w:sz w:val="22"/>
          <w:szCs w:val="22"/>
        </w:rPr>
        <w:t xml:space="preserve">(CTS), which enables the uses of </w:t>
      </w:r>
      <w:proofErr w:type="spellStart"/>
      <w:r w:rsidR="008E7E93">
        <w:rPr>
          <w:rFonts w:asciiTheme="majorHAnsi" w:hAnsiTheme="majorHAnsi"/>
          <w:sz w:val="22"/>
          <w:szCs w:val="22"/>
        </w:rPr>
        <w:t>cheque</w:t>
      </w:r>
      <w:proofErr w:type="spellEnd"/>
      <w:r w:rsidR="008E7E93">
        <w:rPr>
          <w:rFonts w:asciiTheme="majorHAnsi" w:hAnsiTheme="majorHAnsi"/>
          <w:sz w:val="22"/>
          <w:szCs w:val="22"/>
        </w:rPr>
        <w:t xml:space="preserve"> images for payment processing, thus restricting the need for physical movement</w:t>
      </w:r>
      <w:r w:rsidR="009E01E6">
        <w:rPr>
          <w:rFonts w:asciiTheme="majorHAnsi" w:hAnsiTheme="majorHAnsi"/>
          <w:sz w:val="22"/>
          <w:szCs w:val="22"/>
        </w:rPr>
        <w:t>.</w:t>
      </w:r>
    </w:p>
    <w:p w14:paraId="6A9BA44B" w14:textId="51C66EC3" w:rsidR="008C492B" w:rsidRDefault="008C492B" w:rsidP="008C492B">
      <w:pPr>
        <w:pStyle w:val="ListParagraph"/>
        <w:numPr>
          <w:ilvl w:val="0"/>
          <w:numId w:val="5"/>
        </w:numPr>
        <w:spacing w:after="200" w:line="276" w:lineRule="auto"/>
        <w:rPr>
          <w:rFonts w:asciiTheme="majorHAnsi" w:hAnsiTheme="majorHAnsi"/>
          <w:sz w:val="22"/>
          <w:szCs w:val="22"/>
        </w:rPr>
      </w:pPr>
      <w:r>
        <w:rPr>
          <w:rFonts w:asciiTheme="majorHAnsi" w:hAnsiTheme="majorHAnsi"/>
          <w:sz w:val="22"/>
          <w:szCs w:val="22"/>
        </w:rPr>
        <w:t>Electronic Payments</w:t>
      </w:r>
    </w:p>
    <w:p w14:paraId="450AC3A5" w14:textId="00212082" w:rsidR="009E01E6" w:rsidRDefault="00DC4179" w:rsidP="00302593">
      <w:pPr>
        <w:pStyle w:val="ListParagraph"/>
        <w:numPr>
          <w:ilvl w:val="1"/>
          <w:numId w:val="5"/>
        </w:numPr>
        <w:spacing w:after="200" w:line="276" w:lineRule="auto"/>
        <w:rPr>
          <w:rFonts w:asciiTheme="majorHAnsi" w:hAnsiTheme="majorHAnsi"/>
          <w:sz w:val="22"/>
          <w:szCs w:val="22"/>
        </w:rPr>
      </w:pPr>
      <w:r w:rsidRPr="00302593">
        <w:rPr>
          <w:rFonts w:asciiTheme="majorHAnsi" w:hAnsiTheme="majorHAnsi"/>
          <w:sz w:val="22"/>
          <w:szCs w:val="22"/>
        </w:rPr>
        <w:t>Electronic Clearing Service (ECS)</w:t>
      </w:r>
      <w:r w:rsidR="00302593" w:rsidRPr="00302593">
        <w:rPr>
          <w:rFonts w:asciiTheme="majorHAnsi" w:hAnsiTheme="majorHAnsi"/>
          <w:sz w:val="22"/>
          <w:szCs w:val="22"/>
        </w:rPr>
        <w:t xml:space="preserve"> Credit</w:t>
      </w:r>
      <w:r w:rsidR="00A6178A">
        <w:rPr>
          <w:rFonts w:asciiTheme="majorHAnsi" w:hAnsiTheme="majorHAnsi"/>
          <w:sz w:val="22"/>
          <w:szCs w:val="22"/>
        </w:rPr>
        <w:t xml:space="preserve"> and</w:t>
      </w:r>
      <w:r w:rsidR="009A47C0">
        <w:rPr>
          <w:rFonts w:asciiTheme="majorHAnsi" w:hAnsiTheme="majorHAnsi"/>
          <w:sz w:val="22"/>
          <w:szCs w:val="22"/>
        </w:rPr>
        <w:t xml:space="preserve"> Debit schemes</w:t>
      </w:r>
    </w:p>
    <w:p w14:paraId="262931E6" w14:textId="4A63A4C1" w:rsidR="00321BAA" w:rsidRDefault="009A47C0" w:rsidP="001708D8">
      <w:pPr>
        <w:spacing w:after="200" w:line="276" w:lineRule="auto"/>
        <w:ind w:left="720"/>
        <w:rPr>
          <w:rFonts w:asciiTheme="majorHAnsi" w:hAnsiTheme="majorHAnsi"/>
          <w:sz w:val="22"/>
          <w:szCs w:val="22"/>
        </w:rPr>
      </w:pPr>
      <w:r>
        <w:rPr>
          <w:rFonts w:asciiTheme="majorHAnsi" w:hAnsiTheme="majorHAnsi"/>
          <w:sz w:val="22"/>
          <w:szCs w:val="22"/>
        </w:rPr>
        <w:t xml:space="preserve">The ECS Credit scheme was introduced by the RBI to handle bulk and repetitive </w:t>
      </w:r>
      <w:r w:rsidR="00186A71">
        <w:rPr>
          <w:rFonts w:asciiTheme="majorHAnsi" w:hAnsiTheme="majorHAnsi"/>
          <w:sz w:val="22"/>
          <w:szCs w:val="22"/>
        </w:rPr>
        <w:t>payment requirement</w:t>
      </w:r>
      <w:r w:rsidR="00AE5C0C">
        <w:rPr>
          <w:rFonts w:asciiTheme="majorHAnsi" w:hAnsiTheme="majorHAnsi"/>
          <w:sz w:val="22"/>
          <w:szCs w:val="22"/>
        </w:rPr>
        <w:t>s</w:t>
      </w:r>
      <w:r w:rsidR="00186A71">
        <w:rPr>
          <w:rFonts w:asciiTheme="majorHAnsi" w:hAnsiTheme="majorHAnsi"/>
          <w:sz w:val="22"/>
          <w:szCs w:val="22"/>
        </w:rPr>
        <w:t xml:space="preserve"> of institutions, while the Debit scheme was introduced to provide</w:t>
      </w:r>
      <w:r w:rsidR="00FC25E5">
        <w:rPr>
          <w:rFonts w:asciiTheme="majorHAnsi" w:hAnsiTheme="majorHAnsi"/>
          <w:sz w:val="22"/>
          <w:szCs w:val="22"/>
        </w:rPr>
        <w:t xml:space="preserve"> a more efficient method to handle periodic and repetitive collections of utility companies. </w:t>
      </w:r>
      <w:r w:rsidR="00ED5891">
        <w:rPr>
          <w:rFonts w:asciiTheme="majorHAnsi" w:hAnsiTheme="majorHAnsi"/>
          <w:sz w:val="22"/>
          <w:szCs w:val="22"/>
        </w:rPr>
        <w:t xml:space="preserve">Thus, the Credit scheme </w:t>
      </w:r>
      <w:r w:rsidR="00D675A9">
        <w:rPr>
          <w:rFonts w:asciiTheme="majorHAnsi" w:hAnsiTheme="majorHAnsi"/>
          <w:sz w:val="22"/>
          <w:szCs w:val="22"/>
        </w:rPr>
        <w:t xml:space="preserve">enables the </w:t>
      </w:r>
      <w:r w:rsidR="00627484">
        <w:rPr>
          <w:rFonts w:asciiTheme="majorHAnsi" w:hAnsiTheme="majorHAnsi"/>
          <w:sz w:val="22"/>
          <w:szCs w:val="22"/>
        </w:rPr>
        <w:t>institution’s</w:t>
      </w:r>
      <w:r w:rsidR="00D675A9">
        <w:rPr>
          <w:rFonts w:asciiTheme="majorHAnsi" w:hAnsiTheme="majorHAnsi"/>
          <w:sz w:val="22"/>
          <w:szCs w:val="22"/>
        </w:rPr>
        <w:t xml:space="preserve"> accounts to be automatically credited on the specified value date,</w:t>
      </w:r>
      <w:r w:rsidR="00961808">
        <w:rPr>
          <w:rFonts w:asciiTheme="majorHAnsi" w:hAnsiTheme="majorHAnsi"/>
          <w:sz w:val="22"/>
          <w:szCs w:val="22"/>
        </w:rPr>
        <w:t xml:space="preserve"> while the Debit scheme mandates bank branches to debit </w:t>
      </w:r>
      <w:r w:rsidR="0050374B">
        <w:rPr>
          <w:rFonts w:asciiTheme="majorHAnsi" w:hAnsiTheme="majorHAnsi"/>
          <w:sz w:val="22"/>
          <w:szCs w:val="22"/>
        </w:rPr>
        <w:t>the</w:t>
      </w:r>
      <w:r w:rsidR="008558CF">
        <w:rPr>
          <w:rFonts w:asciiTheme="majorHAnsi" w:hAnsiTheme="majorHAnsi"/>
          <w:sz w:val="22"/>
          <w:szCs w:val="22"/>
        </w:rPr>
        <w:t xml:space="preserve"> accounts of consumers / subscribers </w:t>
      </w:r>
      <w:r w:rsidR="00146E83">
        <w:rPr>
          <w:rFonts w:asciiTheme="majorHAnsi" w:hAnsiTheme="majorHAnsi"/>
          <w:sz w:val="22"/>
          <w:szCs w:val="22"/>
        </w:rPr>
        <w:t xml:space="preserve">and pass on the money </w:t>
      </w:r>
      <w:r w:rsidR="00443737">
        <w:rPr>
          <w:rFonts w:asciiTheme="majorHAnsi" w:hAnsiTheme="majorHAnsi"/>
          <w:sz w:val="22"/>
          <w:szCs w:val="22"/>
        </w:rPr>
        <w:t>to the companies.</w:t>
      </w:r>
    </w:p>
    <w:p w14:paraId="2B23331F" w14:textId="114B8A6F" w:rsidR="00F0335D" w:rsidRPr="00321BAA" w:rsidRDefault="00F0335D" w:rsidP="001708D8">
      <w:pPr>
        <w:spacing w:after="200" w:line="276" w:lineRule="auto"/>
        <w:ind w:left="720"/>
        <w:rPr>
          <w:rFonts w:asciiTheme="majorHAnsi" w:hAnsiTheme="majorHAnsi"/>
          <w:sz w:val="22"/>
          <w:szCs w:val="22"/>
        </w:rPr>
      </w:pPr>
      <w:r>
        <w:rPr>
          <w:rFonts w:asciiTheme="majorHAnsi" w:hAnsiTheme="majorHAnsi"/>
          <w:sz w:val="22"/>
          <w:szCs w:val="22"/>
        </w:rPr>
        <w:t>In 2008, the RBI launched the National Electronic Clearing Service (</w:t>
      </w:r>
      <w:r w:rsidR="008F433C">
        <w:rPr>
          <w:rFonts w:asciiTheme="majorHAnsi" w:hAnsiTheme="majorHAnsi"/>
          <w:sz w:val="22"/>
          <w:szCs w:val="22"/>
        </w:rPr>
        <w:t>N</w:t>
      </w:r>
      <w:r>
        <w:rPr>
          <w:rFonts w:asciiTheme="majorHAnsi" w:hAnsiTheme="majorHAnsi"/>
          <w:sz w:val="22"/>
          <w:szCs w:val="22"/>
        </w:rPr>
        <w:t xml:space="preserve">ECS) </w:t>
      </w:r>
      <w:r w:rsidR="008328C0">
        <w:rPr>
          <w:rFonts w:asciiTheme="majorHAnsi" w:hAnsiTheme="majorHAnsi"/>
          <w:sz w:val="22"/>
          <w:szCs w:val="22"/>
        </w:rPr>
        <w:t>across India, which enables multiple credits to beneficiary accounts against a single debit through a sponsor bank.</w:t>
      </w:r>
      <w:r w:rsidR="008F433C">
        <w:rPr>
          <w:rFonts w:asciiTheme="majorHAnsi" w:hAnsiTheme="majorHAnsi"/>
          <w:sz w:val="22"/>
          <w:szCs w:val="22"/>
        </w:rPr>
        <w:t xml:space="preserve"> Along with the NECS, the RBI launched the Regional ECS </w:t>
      </w:r>
      <w:r w:rsidR="008F433C">
        <w:rPr>
          <w:rFonts w:asciiTheme="majorHAnsi" w:hAnsiTheme="majorHAnsi"/>
          <w:sz w:val="22"/>
          <w:szCs w:val="22"/>
        </w:rPr>
        <w:lastRenderedPageBreak/>
        <w:t xml:space="preserve">(RECS) in 2009, which is a miniature version of the NECS, </w:t>
      </w:r>
      <w:r w:rsidR="007B2284">
        <w:rPr>
          <w:rFonts w:asciiTheme="majorHAnsi" w:hAnsiTheme="majorHAnsi"/>
          <w:sz w:val="22"/>
          <w:szCs w:val="22"/>
        </w:rPr>
        <w:t>enabling the same service</w:t>
      </w:r>
      <w:r w:rsidR="008F433C">
        <w:rPr>
          <w:rFonts w:asciiTheme="majorHAnsi" w:hAnsiTheme="majorHAnsi"/>
          <w:sz w:val="22"/>
          <w:szCs w:val="22"/>
        </w:rPr>
        <w:t xml:space="preserve"> at the regional level.</w:t>
      </w:r>
    </w:p>
    <w:p w14:paraId="79B24707" w14:textId="705CEB51" w:rsidR="00321BAA" w:rsidRDefault="00321BAA" w:rsidP="00302593">
      <w:pPr>
        <w:pStyle w:val="ListParagraph"/>
        <w:numPr>
          <w:ilvl w:val="1"/>
          <w:numId w:val="5"/>
        </w:numPr>
        <w:spacing w:after="200" w:line="276" w:lineRule="auto"/>
        <w:rPr>
          <w:rFonts w:asciiTheme="majorHAnsi" w:hAnsiTheme="majorHAnsi"/>
          <w:sz w:val="22"/>
          <w:szCs w:val="22"/>
        </w:rPr>
      </w:pPr>
      <w:r>
        <w:rPr>
          <w:rFonts w:asciiTheme="majorHAnsi" w:hAnsiTheme="majorHAnsi"/>
          <w:sz w:val="22"/>
          <w:szCs w:val="22"/>
        </w:rPr>
        <w:t>Electronic Funds Transfer (EFT)</w:t>
      </w:r>
    </w:p>
    <w:p w14:paraId="7C2B2658" w14:textId="3E293498" w:rsidR="00321BAA" w:rsidRPr="00321BAA" w:rsidRDefault="00846273" w:rsidP="001708D8">
      <w:pPr>
        <w:spacing w:after="200" w:line="276" w:lineRule="auto"/>
        <w:ind w:left="720"/>
        <w:rPr>
          <w:rFonts w:asciiTheme="majorHAnsi" w:hAnsiTheme="majorHAnsi"/>
          <w:sz w:val="22"/>
          <w:szCs w:val="22"/>
        </w:rPr>
      </w:pPr>
      <w:r>
        <w:rPr>
          <w:rFonts w:asciiTheme="majorHAnsi" w:hAnsiTheme="majorHAnsi"/>
          <w:sz w:val="22"/>
          <w:szCs w:val="22"/>
        </w:rPr>
        <w:t>The EFT system was introduced in the 1990s</w:t>
      </w:r>
      <w:r w:rsidR="00EE396F">
        <w:rPr>
          <w:rFonts w:asciiTheme="majorHAnsi" w:hAnsiTheme="majorHAnsi"/>
          <w:sz w:val="22"/>
          <w:szCs w:val="22"/>
        </w:rPr>
        <w:t xml:space="preserve"> and enables a bank account-holder to electronically transfer funds to another account-holder with any other bank in the system. However, this scheme </w:t>
      </w:r>
      <w:r w:rsidR="005F2229">
        <w:rPr>
          <w:rFonts w:asciiTheme="majorHAnsi" w:hAnsiTheme="majorHAnsi"/>
          <w:sz w:val="22"/>
          <w:szCs w:val="22"/>
        </w:rPr>
        <w:t>is no longer available to the general public, and has been replaced by the more robust NEFT system.</w:t>
      </w:r>
    </w:p>
    <w:p w14:paraId="4A3C08D1" w14:textId="0A470B6F" w:rsidR="00321BAA" w:rsidRDefault="00321BAA" w:rsidP="00302593">
      <w:pPr>
        <w:pStyle w:val="ListParagraph"/>
        <w:numPr>
          <w:ilvl w:val="1"/>
          <w:numId w:val="5"/>
        </w:numPr>
        <w:spacing w:after="200" w:line="276" w:lineRule="auto"/>
        <w:rPr>
          <w:rFonts w:asciiTheme="majorHAnsi" w:hAnsiTheme="majorHAnsi"/>
          <w:sz w:val="22"/>
          <w:szCs w:val="22"/>
        </w:rPr>
      </w:pPr>
      <w:r>
        <w:rPr>
          <w:rFonts w:asciiTheme="majorHAnsi" w:hAnsiTheme="majorHAnsi"/>
          <w:sz w:val="22"/>
          <w:szCs w:val="22"/>
        </w:rPr>
        <w:t>National Electronic Funds Transfer (NEFT) System</w:t>
      </w:r>
    </w:p>
    <w:p w14:paraId="30E97759" w14:textId="711DF7E1" w:rsidR="008D091B" w:rsidRPr="008D091B" w:rsidRDefault="00C810E1" w:rsidP="001708D8">
      <w:pPr>
        <w:spacing w:after="200" w:line="276" w:lineRule="auto"/>
        <w:ind w:left="720"/>
        <w:rPr>
          <w:rFonts w:asciiTheme="majorHAnsi" w:hAnsiTheme="majorHAnsi"/>
          <w:sz w:val="22"/>
          <w:szCs w:val="22"/>
        </w:rPr>
      </w:pPr>
      <w:r>
        <w:rPr>
          <w:rFonts w:asciiTheme="majorHAnsi" w:hAnsiTheme="majorHAnsi"/>
          <w:sz w:val="22"/>
          <w:szCs w:val="22"/>
        </w:rPr>
        <w:t xml:space="preserve">The NEFT system, </w:t>
      </w:r>
      <w:r w:rsidR="00B61000">
        <w:rPr>
          <w:rFonts w:asciiTheme="majorHAnsi" w:hAnsiTheme="majorHAnsi"/>
          <w:sz w:val="22"/>
          <w:szCs w:val="22"/>
        </w:rPr>
        <w:t xml:space="preserve">introduced in </w:t>
      </w:r>
      <w:r w:rsidR="00A70DBD">
        <w:rPr>
          <w:rFonts w:asciiTheme="majorHAnsi" w:hAnsiTheme="majorHAnsi"/>
          <w:sz w:val="22"/>
          <w:szCs w:val="22"/>
        </w:rPr>
        <w:t>2005</w:t>
      </w:r>
      <w:r>
        <w:rPr>
          <w:rFonts w:asciiTheme="majorHAnsi" w:hAnsiTheme="majorHAnsi"/>
          <w:sz w:val="22"/>
          <w:szCs w:val="22"/>
        </w:rPr>
        <w:t xml:space="preserve">, </w:t>
      </w:r>
      <w:r w:rsidR="00356B89">
        <w:rPr>
          <w:rFonts w:asciiTheme="majorHAnsi" w:hAnsiTheme="majorHAnsi"/>
          <w:sz w:val="22"/>
          <w:szCs w:val="22"/>
        </w:rPr>
        <w:t>is a more secure</w:t>
      </w:r>
      <w:r w:rsidR="00C6554A">
        <w:rPr>
          <w:rFonts w:asciiTheme="majorHAnsi" w:hAnsiTheme="majorHAnsi"/>
          <w:sz w:val="22"/>
          <w:szCs w:val="22"/>
        </w:rPr>
        <w:t xml:space="preserve"> scheme to facilitate one-to-one funds transfer. The NEFT system enables near real-time transfer of funds</w:t>
      </w:r>
      <w:r w:rsidR="00657121">
        <w:rPr>
          <w:rFonts w:asciiTheme="majorHAnsi" w:hAnsiTheme="majorHAnsi"/>
          <w:sz w:val="22"/>
          <w:szCs w:val="22"/>
        </w:rPr>
        <w:t xml:space="preserve"> by providing for batch settlements at hourly intervals. </w:t>
      </w:r>
      <w:r w:rsidR="005C31FE">
        <w:rPr>
          <w:rFonts w:asciiTheme="majorHAnsi" w:hAnsiTheme="majorHAnsi"/>
          <w:sz w:val="22"/>
          <w:szCs w:val="22"/>
        </w:rPr>
        <w:t xml:space="preserve">There are also </w:t>
      </w:r>
      <w:r w:rsidR="000E42CA">
        <w:rPr>
          <w:rFonts w:asciiTheme="majorHAnsi" w:hAnsiTheme="majorHAnsi"/>
          <w:sz w:val="22"/>
          <w:szCs w:val="22"/>
        </w:rPr>
        <w:t>a number of unique features in this system, the most prominent of which are: a) accepting cash for originating transactions, b) initiating transfer requests without minimum / maximum limitations</w:t>
      </w:r>
      <w:r w:rsidR="00B16771">
        <w:rPr>
          <w:rFonts w:asciiTheme="majorHAnsi" w:hAnsiTheme="majorHAnsi"/>
          <w:sz w:val="22"/>
          <w:szCs w:val="22"/>
        </w:rPr>
        <w:t xml:space="preserve">, and c) </w:t>
      </w:r>
      <w:r w:rsidR="001579AF">
        <w:rPr>
          <w:rFonts w:asciiTheme="majorHAnsi" w:hAnsiTheme="majorHAnsi"/>
          <w:sz w:val="22"/>
          <w:szCs w:val="22"/>
        </w:rPr>
        <w:t>receiving confirmation of</w:t>
      </w:r>
      <w:r w:rsidR="00973C36">
        <w:rPr>
          <w:rFonts w:asciiTheme="majorHAnsi" w:hAnsiTheme="majorHAnsi"/>
          <w:sz w:val="22"/>
          <w:szCs w:val="22"/>
        </w:rPr>
        <w:t xml:space="preserve"> the date / time of credit to the beneficiary’s account.</w:t>
      </w:r>
    </w:p>
    <w:p w14:paraId="065CCB21" w14:textId="427EAEF1" w:rsidR="008D091B" w:rsidRDefault="008D091B" w:rsidP="00302593">
      <w:pPr>
        <w:pStyle w:val="ListParagraph"/>
        <w:numPr>
          <w:ilvl w:val="1"/>
          <w:numId w:val="5"/>
        </w:numPr>
        <w:spacing w:after="200" w:line="276" w:lineRule="auto"/>
        <w:rPr>
          <w:rFonts w:asciiTheme="majorHAnsi" w:hAnsiTheme="majorHAnsi"/>
          <w:sz w:val="22"/>
          <w:szCs w:val="22"/>
        </w:rPr>
      </w:pPr>
      <w:r>
        <w:rPr>
          <w:rFonts w:asciiTheme="majorHAnsi" w:hAnsiTheme="majorHAnsi"/>
          <w:sz w:val="22"/>
          <w:szCs w:val="22"/>
        </w:rPr>
        <w:t>Real Time Gross Settlement (RTGS) System</w:t>
      </w:r>
    </w:p>
    <w:p w14:paraId="278F778C" w14:textId="5224E941" w:rsidR="002E1A98" w:rsidRPr="002E1A98" w:rsidRDefault="002C25F6" w:rsidP="001708D8">
      <w:pPr>
        <w:spacing w:after="200" w:line="276" w:lineRule="auto"/>
        <w:ind w:left="720"/>
        <w:rPr>
          <w:rFonts w:asciiTheme="majorHAnsi" w:hAnsiTheme="majorHAnsi"/>
          <w:sz w:val="22"/>
          <w:szCs w:val="22"/>
        </w:rPr>
      </w:pPr>
      <w:r>
        <w:rPr>
          <w:rFonts w:asciiTheme="majorHAnsi" w:hAnsiTheme="majorHAnsi"/>
          <w:sz w:val="22"/>
          <w:szCs w:val="22"/>
        </w:rPr>
        <w:t xml:space="preserve">The RTGS is a funds transfer system in which inter-bank transfers are facilitated on: a) </w:t>
      </w:r>
      <w:r w:rsidR="00931169">
        <w:rPr>
          <w:rFonts w:asciiTheme="majorHAnsi" w:hAnsiTheme="majorHAnsi"/>
          <w:sz w:val="22"/>
          <w:szCs w:val="22"/>
        </w:rPr>
        <w:t xml:space="preserve">a ‘real-time’ settlement, which is without any waiting period, and b) a ‘gross’ basis, which means </w:t>
      </w:r>
      <w:r w:rsidR="003B4C98">
        <w:rPr>
          <w:rFonts w:asciiTheme="majorHAnsi" w:hAnsiTheme="majorHAnsi"/>
          <w:sz w:val="22"/>
          <w:szCs w:val="22"/>
        </w:rPr>
        <w:t>using</w:t>
      </w:r>
      <w:r w:rsidR="00931169">
        <w:rPr>
          <w:rFonts w:asciiTheme="majorHAnsi" w:hAnsiTheme="majorHAnsi"/>
          <w:sz w:val="22"/>
          <w:szCs w:val="22"/>
        </w:rPr>
        <w:t xml:space="preserve"> a one-on-one </w:t>
      </w:r>
      <w:r w:rsidR="003B4C98">
        <w:rPr>
          <w:rFonts w:asciiTheme="majorHAnsi" w:hAnsiTheme="majorHAnsi"/>
          <w:sz w:val="22"/>
          <w:szCs w:val="22"/>
        </w:rPr>
        <w:t xml:space="preserve">method, without netting with any other transaction. Any payments processed through the RTGS system are final and irrevocable, </w:t>
      </w:r>
      <w:r w:rsidR="00C417C7">
        <w:rPr>
          <w:rFonts w:asciiTheme="majorHAnsi" w:hAnsiTheme="majorHAnsi"/>
          <w:sz w:val="22"/>
          <w:szCs w:val="22"/>
        </w:rPr>
        <w:t>and have a minimum transaction amount of INR 0.2 million.</w:t>
      </w:r>
    </w:p>
    <w:p w14:paraId="76AEB62B" w14:textId="0C7594CB" w:rsidR="002E1A98" w:rsidRDefault="002E1A98" w:rsidP="00302593">
      <w:pPr>
        <w:pStyle w:val="ListParagraph"/>
        <w:numPr>
          <w:ilvl w:val="1"/>
          <w:numId w:val="5"/>
        </w:numPr>
        <w:spacing w:after="200" w:line="276" w:lineRule="auto"/>
        <w:rPr>
          <w:rFonts w:asciiTheme="majorHAnsi" w:hAnsiTheme="majorHAnsi"/>
          <w:sz w:val="22"/>
          <w:szCs w:val="22"/>
        </w:rPr>
      </w:pPr>
      <w:r>
        <w:rPr>
          <w:rFonts w:asciiTheme="majorHAnsi" w:hAnsiTheme="majorHAnsi"/>
          <w:sz w:val="22"/>
          <w:szCs w:val="22"/>
        </w:rPr>
        <w:t>Clearing Corporation of India Limited (CCIL)</w:t>
      </w:r>
    </w:p>
    <w:p w14:paraId="5E8540BC" w14:textId="57CA3717" w:rsidR="00321BAA" w:rsidRPr="008D091B" w:rsidRDefault="00F377AF" w:rsidP="001708D8">
      <w:pPr>
        <w:spacing w:after="200" w:line="276" w:lineRule="auto"/>
        <w:ind w:left="720"/>
        <w:rPr>
          <w:rFonts w:asciiTheme="majorHAnsi" w:hAnsiTheme="majorHAnsi"/>
          <w:sz w:val="22"/>
          <w:szCs w:val="22"/>
        </w:rPr>
      </w:pPr>
      <w:r>
        <w:rPr>
          <w:rFonts w:asciiTheme="majorHAnsi" w:hAnsiTheme="majorHAnsi"/>
          <w:sz w:val="22"/>
          <w:szCs w:val="22"/>
        </w:rPr>
        <w:t>CCIL was setup in 2001 for banks, financial institutions and primary dealers (of government securities), to act</w:t>
      </w:r>
      <w:r w:rsidR="00EA3913">
        <w:rPr>
          <w:rFonts w:asciiTheme="majorHAnsi" w:hAnsiTheme="majorHAnsi"/>
          <w:sz w:val="22"/>
          <w:szCs w:val="22"/>
        </w:rPr>
        <w:t xml:space="preserve"> as </w:t>
      </w:r>
      <w:r w:rsidR="00E57DB2">
        <w:rPr>
          <w:rFonts w:asciiTheme="majorHAnsi" w:hAnsiTheme="majorHAnsi"/>
          <w:sz w:val="22"/>
          <w:szCs w:val="22"/>
        </w:rPr>
        <w:t>the intermediary organization for the clearing and settlement of trades in the government securities, call money and foreign exchange markets.</w:t>
      </w:r>
      <w:r w:rsidR="008942EB">
        <w:rPr>
          <w:rFonts w:asciiTheme="majorHAnsi" w:hAnsiTheme="majorHAnsi"/>
          <w:sz w:val="22"/>
          <w:szCs w:val="22"/>
        </w:rPr>
        <w:t xml:space="preserve"> </w:t>
      </w:r>
      <w:r w:rsidR="002D4164">
        <w:rPr>
          <w:rFonts w:asciiTheme="majorHAnsi" w:hAnsiTheme="majorHAnsi"/>
          <w:sz w:val="22"/>
          <w:szCs w:val="22"/>
        </w:rPr>
        <w:t>Essentially, CCIL act as a Central Counter Party (CCP) in the government securities, USD-INR forex (both spot</w:t>
      </w:r>
      <w:r w:rsidR="000F68DD">
        <w:rPr>
          <w:rFonts w:asciiTheme="majorHAnsi" w:hAnsiTheme="majorHAnsi"/>
          <w:sz w:val="22"/>
          <w:szCs w:val="22"/>
        </w:rPr>
        <w:t>s</w:t>
      </w:r>
      <w:r w:rsidR="002D4164">
        <w:rPr>
          <w:rFonts w:asciiTheme="majorHAnsi" w:hAnsiTheme="majorHAnsi"/>
          <w:sz w:val="22"/>
          <w:szCs w:val="22"/>
        </w:rPr>
        <w:t xml:space="preserve"> and forwards)</w:t>
      </w:r>
      <w:r w:rsidR="000F68DD">
        <w:rPr>
          <w:rFonts w:asciiTheme="majorHAnsi" w:hAnsiTheme="majorHAnsi"/>
          <w:sz w:val="22"/>
          <w:szCs w:val="22"/>
        </w:rPr>
        <w:t xml:space="preserve">, and the Collateralized Borrowing and Lending Obligation (CBLO) markets. </w:t>
      </w:r>
      <w:r w:rsidR="00C31743">
        <w:rPr>
          <w:rFonts w:asciiTheme="majorHAnsi" w:hAnsiTheme="majorHAnsi"/>
          <w:sz w:val="22"/>
          <w:szCs w:val="22"/>
        </w:rPr>
        <w:t xml:space="preserve">Additionally, CCIL provides a platform and repository for Over </w:t>
      </w:r>
      <w:proofErr w:type="gramStart"/>
      <w:r w:rsidR="00C31743">
        <w:rPr>
          <w:rFonts w:asciiTheme="majorHAnsi" w:hAnsiTheme="majorHAnsi"/>
          <w:sz w:val="22"/>
          <w:szCs w:val="22"/>
        </w:rPr>
        <w:t>The</w:t>
      </w:r>
      <w:proofErr w:type="gramEnd"/>
      <w:r w:rsidR="00C31743">
        <w:rPr>
          <w:rFonts w:asciiTheme="majorHAnsi" w:hAnsiTheme="majorHAnsi"/>
          <w:sz w:val="22"/>
          <w:szCs w:val="22"/>
        </w:rPr>
        <w:t xml:space="preserve"> Counter (OTC) products in these segments. </w:t>
      </w:r>
      <w:r w:rsidR="000F68DD">
        <w:rPr>
          <w:rFonts w:asciiTheme="majorHAnsi" w:hAnsiTheme="majorHAnsi"/>
          <w:sz w:val="22"/>
          <w:szCs w:val="22"/>
        </w:rPr>
        <w:t xml:space="preserve">Through novation, CCIL replaces the need for a </w:t>
      </w:r>
      <w:r w:rsidR="002428EE">
        <w:rPr>
          <w:rFonts w:asciiTheme="majorHAnsi" w:hAnsiTheme="majorHAnsi"/>
          <w:sz w:val="22"/>
          <w:szCs w:val="22"/>
        </w:rPr>
        <w:t xml:space="preserve">single </w:t>
      </w:r>
      <w:r w:rsidR="000F68DD">
        <w:rPr>
          <w:rFonts w:asciiTheme="majorHAnsi" w:hAnsiTheme="majorHAnsi"/>
          <w:sz w:val="22"/>
          <w:szCs w:val="22"/>
        </w:rPr>
        <w:t>contract between two parties</w:t>
      </w:r>
      <w:r w:rsidR="002428EE">
        <w:rPr>
          <w:rFonts w:asciiTheme="majorHAnsi" w:hAnsiTheme="majorHAnsi"/>
          <w:sz w:val="22"/>
          <w:szCs w:val="22"/>
        </w:rPr>
        <w:t>,</w:t>
      </w:r>
      <w:r w:rsidR="000F68DD">
        <w:rPr>
          <w:rFonts w:asciiTheme="majorHAnsi" w:hAnsiTheme="majorHAnsi"/>
          <w:sz w:val="22"/>
          <w:szCs w:val="22"/>
        </w:rPr>
        <w:t xml:space="preserve"> with two contracts</w:t>
      </w:r>
      <w:r w:rsidR="002428EE">
        <w:rPr>
          <w:rFonts w:asciiTheme="majorHAnsi" w:hAnsiTheme="majorHAnsi"/>
          <w:sz w:val="22"/>
          <w:szCs w:val="22"/>
        </w:rPr>
        <w:t xml:space="preserve"> between CCIL and each of the two parties. </w:t>
      </w:r>
      <w:r w:rsidR="008278D2">
        <w:rPr>
          <w:rFonts w:asciiTheme="majorHAnsi" w:hAnsiTheme="majorHAnsi"/>
          <w:sz w:val="22"/>
          <w:szCs w:val="22"/>
        </w:rPr>
        <w:t>Thus, all counterparty and cr</w:t>
      </w:r>
      <w:r w:rsidR="00C31743">
        <w:rPr>
          <w:rFonts w:asciiTheme="majorHAnsi" w:hAnsiTheme="majorHAnsi"/>
          <w:sz w:val="22"/>
          <w:szCs w:val="22"/>
        </w:rPr>
        <w:t>edit risks are assumed by CCIL.</w:t>
      </w:r>
      <w:r w:rsidR="008278D2">
        <w:rPr>
          <w:rFonts w:asciiTheme="majorHAnsi" w:hAnsiTheme="majorHAnsi"/>
          <w:sz w:val="22"/>
          <w:szCs w:val="22"/>
        </w:rPr>
        <w:t xml:space="preserve"> </w:t>
      </w:r>
    </w:p>
    <w:p w14:paraId="5DA1285C" w14:textId="0A964471" w:rsidR="008C492B" w:rsidRPr="008C492B" w:rsidRDefault="008C492B" w:rsidP="008C492B">
      <w:pPr>
        <w:pStyle w:val="ListParagraph"/>
        <w:numPr>
          <w:ilvl w:val="0"/>
          <w:numId w:val="5"/>
        </w:numPr>
        <w:spacing w:after="200" w:line="276" w:lineRule="auto"/>
        <w:rPr>
          <w:rFonts w:asciiTheme="majorHAnsi" w:hAnsiTheme="majorHAnsi"/>
          <w:sz w:val="22"/>
          <w:szCs w:val="22"/>
        </w:rPr>
      </w:pPr>
      <w:r>
        <w:rPr>
          <w:rFonts w:asciiTheme="majorHAnsi" w:hAnsiTheme="majorHAnsi"/>
          <w:sz w:val="22"/>
          <w:szCs w:val="22"/>
        </w:rPr>
        <w:t>Other Payment Systems</w:t>
      </w:r>
    </w:p>
    <w:p w14:paraId="1547F8AD" w14:textId="25A7644F" w:rsidR="008C492B" w:rsidRPr="00FB3EA5" w:rsidRDefault="00FB3EA5" w:rsidP="00FB3EA5">
      <w:pPr>
        <w:pStyle w:val="ListParagraph"/>
        <w:numPr>
          <w:ilvl w:val="1"/>
          <w:numId w:val="5"/>
        </w:numPr>
        <w:spacing w:after="200" w:line="276" w:lineRule="auto"/>
        <w:rPr>
          <w:rFonts w:asciiTheme="majorHAnsi" w:hAnsiTheme="majorHAnsi"/>
          <w:sz w:val="22"/>
          <w:szCs w:val="22"/>
        </w:rPr>
      </w:pPr>
      <w:r w:rsidRPr="00FB3EA5">
        <w:rPr>
          <w:rFonts w:asciiTheme="majorHAnsi" w:hAnsiTheme="majorHAnsi"/>
          <w:sz w:val="22"/>
          <w:szCs w:val="22"/>
        </w:rPr>
        <w:t>Prepaid Payment Systems: These are typically in the form of smart cards, magnetic-stripe cards, internet wallets and mobile wallets.</w:t>
      </w:r>
      <w:r w:rsidR="00691E3E">
        <w:rPr>
          <w:rFonts w:asciiTheme="majorHAnsi" w:hAnsiTheme="majorHAnsi"/>
          <w:sz w:val="22"/>
          <w:szCs w:val="22"/>
        </w:rPr>
        <w:t xml:space="preserve"> Prepaid systems are restricted to payment instruments within the borders of India.</w:t>
      </w:r>
    </w:p>
    <w:p w14:paraId="5FA8E990" w14:textId="64B218A7" w:rsidR="00FB3EA5" w:rsidRDefault="006764B7" w:rsidP="00FB3EA5">
      <w:pPr>
        <w:pStyle w:val="ListParagraph"/>
        <w:numPr>
          <w:ilvl w:val="1"/>
          <w:numId w:val="5"/>
        </w:numPr>
        <w:spacing w:after="200" w:line="276" w:lineRule="auto"/>
        <w:rPr>
          <w:rFonts w:asciiTheme="majorHAnsi" w:hAnsiTheme="majorHAnsi"/>
          <w:sz w:val="22"/>
          <w:szCs w:val="22"/>
        </w:rPr>
      </w:pPr>
      <w:r>
        <w:rPr>
          <w:rFonts w:asciiTheme="majorHAnsi" w:hAnsiTheme="majorHAnsi"/>
          <w:sz w:val="22"/>
          <w:szCs w:val="22"/>
        </w:rPr>
        <w:t xml:space="preserve">Mobile Banking System: </w:t>
      </w:r>
      <w:r w:rsidR="00D67FB9">
        <w:rPr>
          <w:rFonts w:asciiTheme="majorHAnsi" w:hAnsiTheme="majorHAnsi"/>
          <w:sz w:val="22"/>
          <w:szCs w:val="22"/>
        </w:rPr>
        <w:t>Mobile banking permits are currently restricted to banks that are licensed in India and that also have a physical presence in the country.</w:t>
      </w:r>
    </w:p>
    <w:p w14:paraId="253105A4" w14:textId="669E0C86" w:rsidR="00D67FB9" w:rsidRPr="00FB3EA5" w:rsidRDefault="00D67FB9" w:rsidP="00FB3EA5">
      <w:pPr>
        <w:pStyle w:val="ListParagraph"/>
        <w:numPr>
          <w:ilvl w:val="1"/>
          <w:numId w:val="5"/>
        </w:numPr>
        <w:spacing w:after="200" w:line="276" w:lineRule="auto"/>
        <w:rPr>
          <w:rFonts w:asciiTheme="majorHAnsi" w:hAnsiTheme="majorHAnsi"/>
          <w:sz w:val="22"/>
          <w:szCs w:val="22"/>
        </w:rPr>
      </w:pPr>
      <w:r>
        <w:rPr>
          <w:rFonts w:asciiTheme="majorHAnsi" w:hAnsiTheme="majorHAnsi"/>
          <w:sz w:val="22"/>
          <w:szCs w:val="22"/>
        </w:rPr>
        <w:lastRenderedPageBreak/>
        <w:t xml:space="preserve">ATMs, Point-Of-Sale (POS) Terminals and Online Transactions: </w:t>
      </w:r>
      <w:r w:rsidR="0075581C">
        <w:rPr>
          <w:rFonts w:asciiTheme="majorHAnsi" w:hAnsiTheme="majorHAnsi"/>
          <w:sz w:val="22"/>
          <w:szCs w:val="22"/>
        </w:rPr>
        <w:t>Currently, there are approximately 61,000 ATMs and 0.5 million POS terminals (credit and debit card machine</w:t>
      </w:r>
      <w:r w:rsidR="003A5299">
        <w:rPr>
          <w:rFonts w:asciiTheme="majorHAnsi" w:hAnsiTheme="majorHAnsi"/>
          <w:sz w:val="22"/>
          <w:szCs w:val="22"/>
        </w:rPr>
        <w:t>s, and online payment gateways</w:t>
      </w:r>
      <w:r w:rsidR="0075581C">
        <w:rPr>
          <w:rFonts w:asciiTheme="majorHAnsi" w:hAnsiTheme="majorHAnsi"/>
          <w:sz w:val="22"/>
          <w:szCs w:val="22"/>
        </w:rPr>
        <w:t xml:space="preserve">) in India. </w:t>
      </w:r>
      <w:r w:rsidR="00381C98">
        <w:rPr>
          <w:rFonts w:asciiTheme="majorHAnsi" w:hAnsiTheme="majorHAnsi"/>
          <w:sz w:val="22"/>
          <w:szCs w:val="22"/>
        </w:rPr>
        <w:t xml:space="preserve">These are governed by a stringent set of guidelines, which mandate </w:t>
      </w:r>
      <w:r w:rsidR="00BE112B">
        <w:rPr>
          <w:rFonts w:asciiTheme="majorHAnsi" w:hAnsiTheme="majorHAnsi"/>
          <w:sz w:val="22"/>
          <w:szCs w:val="22"/>
        </w:rPr>
        <w:t>that funds received from a customer must be maintained by the bank in an internal account, without any direct access granted to the intermediary.</w:t>
      </w:r>
    </w:p>
    <w:p w14:paraId="0A130695" w14:textId="77777777" w:rsidR="00AA3C8F" w:rsidRDefault="00AA3C8F" w:rsidP="002A1E21">
      <w:pPr>
        <w:spacing w:after="200" w:line="276" w:lineRule="auto"/>
        <w:ind w:left="-76"/>
        <w:rPr>
          <w:rFonts w:asciiTheme="majorHAnsi" w:hAnsiTheme="majorHAnsi"/>
          <w:sz w:val="22"/>
          <w:szCs w:val="22"/>
        </w:rPr>
      </w:pPr>
    </w:p>
    <w:p w14:paraId="3FF2F3A9" w14:textId="667A70B6" w:rsidR="008C1036" w:rsidRDefault="008C1036">
      <w:pPr>
        <w:rPr>
          <w:rFonts w:asciiTheme="majorHAnsi" w:hAnsiTheme="majorHAnsi"/>
          <w:sz w:val="22"/>
          <w:szCs w:val="22"/>
        </w:rPr>
      </w:pPr>
      <w:r>
        <w:rPr>
          <w:rFonts w:asciiTheme="majorHAnsi" w:hAnsiTheme="majorHAnsi"/>
          <w:sz w:val="22"/>
          <w:szCs w:val="22"/>
        </w:rPr>
        <w:br w:type="page"/>
      </w:r>
    </w:p>
    <w:p w14:paraId="686A0004" w14:textId="77777777" w:rsidR="00BA63A6" w:rsidRPr="00A67B68" w:rsidRDefault="00BA63A6" w:rsidP="00E34E44">
      <w:pPr>
        <w:pStyle w:val="Heading2"/>
        <w:jc w:val="center"/>
      </w:pPr>
      <w:bookmarkStart w:id="12" w:name="_Toc307682232"/>
      <w:r w:rsidRPr="00A67B68">
        <w:lastRenderedPageBreak/>
        <w:t>Appendices</w:t>
      </w:r>
      <w:bookmarkEnd w:id="12"/>
    </w:p>
    <w:p w14:paraId="0506D748" w14:textId="2BE76DBF" w:rsidR="00A67B68" w:rsidRDefault="00A67B68">
      <w:pPr>
        <w:rPr>
          <w:rFonts w:asciiTheme="majorHAnsi" w:hAnsiTheme="majorHAnsi"/>
          <w:sz w:val="22"/>
          <w:szCs w:val="22"/>
        </w:rPr>
      </w:pPr>
    </w:p>
    <w:p w14:paraId="304FAA58" w14:textId="4C7110B8" w:rsidR="00091F89" w:rsidRDefault="00F01E3B" w:rsidP="002A1E21">
      <w:pPr>
        <w:spacing w:after="200" w:line="276" w:lineRule="auto"/>
        <w:ind w:left="-76"/>
        <w:rPr>
          <w:rFonts w:asciiTheme="majorHAnsi" w:hAnsiTheme="majorHAnsi"/>
          <w:sz w:val="22"/>
          <w:szCs w:val="22"/>
        </w:rPr>
      </w:pPr>
      <w:r w:rsidRPr="00F01E3B">
        <w:rPr>
          <w:noProof/>
        </w:rPr>
        <w:drawing>
          <wp:inline distT="0" distB="0" distL="0" distR="0" wp14:anchorId="68E16279" wp14:editId="564FBF77">
            <wp:extent cx="4495800" cy="520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0" cy="5207000"/>
                    </a:xfrm>
                    <a:prstGeom prst="rect">
                      <a:avLst/>
                    </a:prstGeom>
                    <a:noFill/>
                    <a:ln>
                      <a:noFill/>
                    </a:ln>
                  </pic:spPr>
                </pic:pic>
              </a:graphicData>
            </a:graphic>
          </wp:inline>
        </w:drawing>
      </w:r>
    </w:p>
    <w:p w14:paraId="7B0F981E" w14:textId="0A204C29" w:rsidR="00A67B68" w:rsidRDefault="00843EE1">
      <w:pPr>
        <w:rPr>
          <w:rFonts w:asciiTheme="majorHAnsi" w:hAnsiTheme="majorHAnsi"/>
          <w:sz w:val="22"/>
          <w:szCs w:val="22"/>
        </w:rPr>
      </w:pPr>
      <w:r w:rsidRPr="00210C9E">
        <w:rPr>
          <w:rFonts w:asciiTheme="majorHAnsi" w:hAnsiTheme="majorHAnsi"/>
          <w:i/>
          <w:sz w:val="22"/>
          <w:szCs w:val="22"/>
        </w:rPr>
        <w:t>(Source: RBI</w:t>
      </w:r>
      <w:r w:rsidR="000E51C4">
        <w:rPr>
          <w:rFonts w:asciiTheme="majorHAnsi" w:hAnsiTheme="majorHAnsi"/>
          <w:i/>
          <w:sz w:val="22"/>
          <w:szCs w:val="22"/>
        </w:rPr>
        <w:t>, Federal Reserve, WSJ</w:t>
      </w:r>
      <w:r w:rsidRPr="00210C9E">
        <w:rPr>
          <w:rFonts w:asciiTheme="majorHAnsi" w:hAnsiTheme="majorHAnsi"/>
          <w:i/>
          <w:sz w:val="22"/>
          <w:szCs w:val="22"/>
        </w:rPr>
        <w:t>)</w:t>
      </w:r>
      <w:r w:rsidR="00A67B68">
        <w:rPr>
          <w:rFonts w:asciiTheme="majorHAnsi" w:hAnsiTheme="majorHAnsi"/>
          <w:sz w:val="22"/>
          <w:szCs w:val="22"/>
        </w:rPr>
        <w:br w:type="page"/>
      </w:r>
    </w:p>
    <w:tbl>
      <w:tblPr>
        <w:tblStyle w:val="TableGrid"/>
        <w:tblW w:w="0" w:type="auto"/>
        <w:tblInd w:w="-76" w:type="dxa"/>
        <w:tblLook w:val="04A0" w:firstRow="1" w:lastRow="0" w:firstColumn="1" w:lastColumn="0" w:noHBand="0" w:noVBand="1"/>
      </w:tblPr>
      <w:tblGrid>
        <w:gridCol w:w="4258"/>
        <w:gridCol w:w="4258"/>
      </w:tblGrid>
      <w:tr w:rsidR="00195D91" w14:paraId="7AB274B7" w14:textId="77777777" w:rsidTr="00195D91">
        <w:tc>
          <w:tcPr>
            <w:tcW w:w="4258" w:type="dxa"/>
          </w:tcPr>
          <w:p w14:paraId="4CB8D8A8" w14:textId="1CCD341F" w:rsidR="00195D91" w:rsidRDefault="009A696C" w:rsidP="002A1E21">
            <w:pPr>
              <w:spacing w:after="200" w:line="276" w:lineRule="auto"/>
              <w:rPr>
                <w:rFonts w:asciiTheme="majorHAnsi" w:hAnsiTheme="majorHAnsi"/>
                <w:sz w:val="22"/>
                <w:szCs w:val="22"/>
              </w:rPr>
            </w:pPr>
            <w:r>
              <w:rPr>
                <w:rFonts w:asciiTheme="majorHAnsi" w:hAnsiTheme="majorHAnsi"/>
                <w:noProof/>
                <w:sz w:val="22"/>
                <w:szCs w:val="22"/>
              </w:rPr>
              <w:lastRenderedPageBreak/>
              <w:drawing>
                <wp:inline distT="0" distB="0" distL="0" distR="0" wp14:anchorId="039BB4EA" wp14:editId="3494DBD9">
                  <wp:extent cx="2016000" cy="4103999"/>
                  <wp:effectExtent l="0" t="0" r="0" b="1143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6000" cy="4103999"/>
                          </a:xfrm>
                          <a:prstGeom prst="rect">
                            <a:avLst/>
                          </a:prstGeom>
                          <a:noFill/>
                          <a:ln>
                            <a:noFill/>
                          </a:ln>
                        </pic:spPr>
                      </pic:pic>
                    </a:graphicData>
                  </a:graphic>
                </wp:inline>
              </w:drawing>
            </w:r>
          </w:p>
        </w:tc>
        <w:tc>
          <w:tcPr>
            <w:tcW w:w="4258" w:type="dxa"/>
          </w:tcPr>
          <w:p w14:paraId="6A5C86F6" w14:textId="5AE9E23D" w:rsidR="00195D91" w:rsidRDefault="000E2004" w:rsidP="002A1E21">
            <w:pPr>
              <w:spacing w:after="200" w:line="276" w:lineRule="auto"/>
              <w:rPr>
                <w:rFonts w:asciiTheme="majorHAnsi" w:hAnsiTheme="majorHAnsi"/>
                <w:sz w:val="22"/>
                <w:szCs w:val="22"/>
              </w:rPr>
            </w:pPr>
            <w:r>
              <w:rPr>
                <w:rFonts w:asciiTheme="majorHAnsi" w:hAnsiTheme="majorHAnsi"/>
                <w:noProof/>
                <w:sz w:val="22"/>
                <w:szCs w:val="22"/>
              </w:rPr>
              <w:drawing>
                <wp:inline distT="0" distB="0" distL="0" distR="0" wp14:anchorId="77978BFF" wp14:editId="53122B1A">
                  <wp:extent cx="2016000" cy="4103999"/>
                  <wp:effectExtent l="0" t="0" r="0" b="1143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000" cy="4103999"/>
                          </a:xfrm>
                          <a:prstGeom prst="rect">
                            <a:avLst/>
                          </a:prstGeom>
                          <a:noFill/>
                          <a:ln>
                            <a:noFill/>
                          </a:ln>
                        </pic:spPr>
                      </pic:pic>
                    </a:graphicData>
                  </a:graphic>
                </wp:inline>
              </w:drawing>
            </w:r>
          </w:p>
        </w:tc>
      </w:tr>
      <w:tr w:rsidR="006343D9" w14:paraId="5392C2BD" w14:textId="77777777" w:rsidTr="006343D9">
        <w:tc>
          <w:tcPr>
            <w:tcW w:w="4258" w:type="dxa"/>
          </w:tcPr>
          <w:p w14:paraId="7D57ACB2" w14:textId="0AE77F7E" w:rsidR="006343D9" w:rsidRDefault="00C462EB" w:rsidP="002A1E21">
            <w:pPr>
              <w:spacing w:after="200" w:line="276" w:lineRule="auto"/>
              <w:rPr>
                <w:rFonts w:asciiTheme="majorHAnsi" w:hAnsiTheme="majorHAnsi"/>
                <w:sz w:val="22"/>
                <w:szCs w:val="22"/>
              </w:rPr>
            </w:pPr>
            <w:r>
              <w:rPr>
                <w:rFonts w:asciiTheme="majorHAnsi" w:hAnsiTheme="majorHAnsi"/>
                <w:noProof/>
                <w:sz w:val="22"/>
                <w:szCs w:val="22"/>
              </w:rPr>
              <w:drawing>
                <wp:inline distT="0" distB="0" distL="0" distR="0" wp14:anchorId="5A93B6A9" wp14:editId="6F373E4D">
                  <wp:extent cx="2016000" cy="4103999"/>
                  <wp:effectExtent l="0" t="0" r="0" b="1143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6000" cy="4103999"/>
                          </a:xfrm>
                          <a:prstGeom prst="rect">
                            <a:avLst/>
                          </a:prstGeom>
                          <a:noFill/>
                          <a:ln>
                            <a:noFill/>
                          </a:ln>
                        </pic:spPr>
                      </pic:pic>
                    </a:graphicData>
                  </a:graphic>
                </wp:inline>
              </w:drawing>
            </w:r>
          </w:p>
        </w:tc>
        <w:tc>
          <w:tcPr>
            <w:tcW w:w="4258" w:type="dxa"/>
          </w:tcPr>
          <w:p w14:paraId="27892665" w14:textId="77777777" w:rsidR="006343D9" w:rsidRDefault="006343D9" w:rsidP="002A1E21">
            <w:pPr>
              <w:spacing w:after="200" w:line="276" w:lineRule="auto"/>
              <w:rPr>
                <w:rFonts w:asciiTheme="majorHAnsi" w:hAnsiTheme="majorHAnsi"/>
                <w:sz w:val="22"/>
                <w:szCs w:val="22"/>
              </w:rPr>
            </w:pPr>
          </w:p>
        </w:tc>
      </w:tr>
    </w:tbl>
    <w:p w14:paraId="140CAE93" w14:textId="6DE32618" w:rsidR="00504FE1" w:rsidRDefault="00843EE1" w:rsidP="002A1E21">
      <w:pPr>
        <w:spacing w:after="200" w:line="276" w:lineRule="auto"/>
        <w:ind w:left="-76"/>
        <w:rPr>
          <w:rFonts w:asciiTheme="majorHAnsi" w:hAnsiTheme="majorHAnsi"/>
          <w:sz w:val="22"/>
          <w:szCs w:val="22"/>
        </w:rPr>
      </w:pPr>
      <w:r w:rsidRPr="00210C9E">
        <w:rPr>
          <w:rFonts w:asciiTheme="majorHAnsi" w:hAnsiTheme="majorHAnsi"/>
          <w:i/>
          <w:sz w:val="22"/>
          <w:szCs w:val="22"/>
        </w:rPr>
        <w:t>(Source: RBI)</w:t>
      </w:r>
    </w:p>
    <w:p w14:paraId="1DAFE81D" w14:textId="06B850A2" w:rsidR="000F61FF" w:rsidRDefault="00F917EC">
      <w:pPr>
        <w:rPr>
          <w:rFonts w:asciiTheme="majorHAnsi" w:hAnsiTheme="majorHAnsi"/>
          <w:sz w:val="22"/>
          <w:szCs w:val="22"/>
        </w:rPr>
      </w:pPr>
      <w:r w:rsidRPr="00F917EC">
        <w:rPr>
          <w:noProof/>
        </w:rPr>
        <w:lastRenderedPageBreak/>
        <w:drawing>
          <wp:inline distT="0" distB="0" distL="0" distR="0" wp14:anchorId="38041E1E" wp14:editId="0C53D252">
            <wp:extent cx="2379345" cy="3632200"/>
            <wp:effectExtent l="0" t="0" r="825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9345" cy="3632200"/>
                    </a:xfrm>
                    <a:prstGeom prst="rect">
                      <a:avLst/>
                    </a:prstGeom>
                    <a:noFill/>
                    <a:ln>
                      <a:noFill/>
                    </a:ln>
                  </pic:spPr>
                </pic:pic>
              </a:graphicData>
            </a:graphic>
          </wp:inline>
        </w:drawing>
      </w:r>
    </w:p>
    <w:p w14:paraId="58CBAFB1" w14:textId="3F380C05" w:rsidR="000F61FF" w:rsidRDefault="00843EE1">
      <w:pPr>
        <w:rPr>
          <w:rFonts w:asciiTheme="majorHAnsi" w:hAnsiTheme="majorHAnsi"/>
          <w:sz w:val="22"/>
          <w:szCs w:val="22"/>
        </w:rPr>
      </w:pPr>
      <w:r w:rsidRPr="00210C9E">
        <w:rPr>
          <w:rFonts w:asciiTheme="majorHAnsi" w:hAnsiTheme="majorHAnsi"/>
          <w:i/>
          <w:sz w:val="22"/>
          <w:szCs w:val="22"/>
        </w:rPr>
        <w:t>(Source: RBI)</w:t>
      </w:r>
      <w:r w:rsidR="000F61FF">
        <w:rPr>
          <w:rFonts w:asciiTheme="majorHAnsi" w:hAnsiTheme="majorHAnsi"/>
          <w:sz w:val="22"/>
          <w:szCs w:val="22"/>
        </w:rPr>
        <w:br w:type="page"/>
      </w:r>
    </w:p>
    <w:p w14:paraId="2830DF51" w14:textId="5835CC12" w:rsidR="00154E82" w:rsidRDefault="00036714">
      <w:pPr>
        <w:rPr>
          <w:rFonts w:asciiTheme="majorHAnsi" w:hAnsiTheme="majorHAnsi"/>
          <w:sz w:val="22"/>
          <w:szCs w:val="22"/>
        </w:rPr>
      </w:pPr>
      <w:r w:rsidRPr="00036714">
        <w:rPr>
          <w:noProof/>
        </w:rPr>
        <w:lastRenderedPageBreak/>
        <w:drawing>
          <wp:inline distT="0" distB="0" distL="0" distR="0" wp14:anchorId="7C03A7EF" wp14:editId="718D63AD">
            <wp:extent cx="3623945" cy="6875145"/>
            <wp:effectExtent l="0" t="0" r="8255" b="825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3945" cy="6875145"/>
                    </a:xfrm>
                    <a:prstGeom prst="rect">
                      <a:avLst/>
                    </a:prstGeom>
                    <a:noFill/>
                    <a:ln>
                      <a:noFill/>
                    </a:ln>
                  </pic:spPr>
                </pic:pic>
              </a:graphicData>
            </a:graphic>
          </wp:inline>
        </w:drawing>
      </w:r>
    </w:p>
    <w:p w14:paraId="3082A6C6" w14:textId="7438B9AD" w:rsidR="00AF6D2F" w:rsidRDefault="00843EE1">
      <w:pPr>
        <w:rPr>
          <w:rFonts w:asciiTheme="majorHAnsi" w:hAnsiTheme="majorHAnsi"/>
          <w:sz w:val="22"/>
          <w:szCs w:val="22"/>
        </w:rPr>
      </w:pPr>
      <w:r w:rsidRPr="00210C9E">
        <w:rPr>
          <w:rFonts w:asciiTheme="majorHAnsi" w:hAnsiTheme="majorHAnsi"/>
          <w:i/>
          <w:sz w:val="22"/>
          <w:szCs w:val="22"/>
        </w:rPr>
        <w:t>(Source: RBI)</w:t>
      </w:r>
      <w:r w:rsidR="00AF6D2F">
        <w:rPr>
          <w:rFonts w:asciiTheme="majorHAnsi" w:hAnsiTheme="majorHAnsi"/>
          <w:sz w:val="22"/>
          <w:szCs w:val="22"/>
        </w:rPr>
        <w:br w:type="page"/>
      </w:r>
    </w:p>
    <w:p w14:paraId="51E497B2" w14:textId="50441776" w:rsidR="00AF6D2F" w:rsidRDefault="00DB3927">
      <w:pPr>
        <w:rPr>
          <w:rFonts w:asciiTheme="majorHAnsi" w:hAnsiTheme="majorHAnsi"/>
          <w:sz w:val="22"/>
          <w:szCs w:val="22"/>
        </w:rPr>
      </w:pPr>
      <w:r w:rsidRPr="00DB3927">
        <w:rPr>
          <w:noProof/>
        </w:rPr>
        <w:lastRenderedPageBreak/>
        <w:drawing>
          <wp:inline distT="0" distB="0" distL="0" distR="0" wp14:anchorId="083ED2EA" wp14:editId="780E1B8E">
            <wp:extent cx="2379345" cy="3827145"/>
            <wp:effectExtent l="0" t="0" r="8255" b="825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345" cy="3827145"/>
                    </a:xfrm>
                    <a:prstGeom prst="rect">
                      <a:avLst/>
                    </a:prstGeom>
                    <a:noFill/>
                    <a:ln>
                      <a:noFill/>
                    </a:ln>
                  </pic:spPr>
                </pic:pic>
              </a:graphicData>
            </a:graphic>
          </wp:inline>
        </w:drawing>
      </w:r>
    </w:p>
    <w:p w14:paraId="597B00D6" w14:textId="6A35A845" w:rsidR="00AF6D2F" w:rsidRDefault="00210C9E">
      <w:pPr>
        <w:rPr>
          <w:rFonts w:asciiTheme="majorHAnsi" w:hAnsiTheme="majorHAnsi"/>
          <w:sz w:val="22"/>
          <w:szCs w:val="22"/>
        </w:rPr>
      </w:pPr>
      <w:r w:rsidRPr="00210C9E">
        <w:rPr>
          <w:rFonts w:asciiTheme="majorHAnsi" w:hAnsiTheme="majorHAnsi"/>
          <w:i/>
          <w:sz w:val="22"/>
          <w:szCs w:val="22"/>
        </w:rPr>
        <w:t>(Source: RBI)</w:t>
      </w:r>
      <w:r w:rsidR="00AF6D2F">
        <w:rPr>
          <w:rFonts w:asciiTheme="majorHAnsi" w:hAnsiTheme="majorHAnsi"/>
          <w:sz w:val="22"/>
          <w:szCs w:val="22"/>
        </w:rPr>
        <w:br w:type="page"/>
      </w:r>
    </w:p>
    <w:p w14:paraId="511E359E" w14:textId="3EAB2415" w:rsidR="00761C16" w:rsidRDefault="007B76FC" w:rsidP="00761C16">
      <w:pPr>
        <w:rPr>
          <w:rFonts w:asciiTheme="majorHAnsi" w:hAnsiTheme="majorHAnsi"/>
          <w:sz w:val="22"/>
          <w:szCs w:val="22"/>
        </w:rPr>
      </w:pPr>
      <w:r w:rsidRPr="007B76FC">
        <w:rPr>
          <w:noProof/>
        </w:rPr>
        <w:lastRenderedPageBreak/>
        <w:drawing>
          <wp:inline distT="0" distB="0" distL="0" distR="0" wp14:anchorId="4E0FB54F" wp14:editId="29265582">
            <wp:extent cx="2413000" cy="629920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0" cy="6299200"/>
                    </a:xfrm>
                    <a:prstGeom prst="rect">
                      <a:avLst/>
                    </a:prstGeom>
                    <a:noFill/>
                    <a:ln>
                      <a:noFill/>
                    </a:ln>
                  </pic:spPr>
                </pic:pic>
              </a:graphicData>
            </a:graphic>
          </wp:inline>
        </w:drawing>
      </w:r>
    </w:p>
    <w:p w14:paraId="6E0DD356" w14:textId="13848414" w:rsidR="00210C9E" w:rsidRPr="00210C9E" w:rsidRDefault="00210C9E">
      <w:pPr>
        <w:rPr>
          <w:rFonts w:asciiTheme="majorHAnsi" w:hAnsiTheme="majorHAnsi"/>
          <w:i/>
          <w:sz w:val="22"/>
          <w:szCs w:val="22"/>
        </w:rPr>
      </w:pPr>
      <w:r w:rsidRPr="00210C9E">
        <w:rPr>
          <w:rFonts w:asciiTheme="majorHAnsi" w:hAnsiTheme="majorHAnsi"/>
          <w:i/>
          <w:sz w:val="22"/>
          <w:szCs w:val="22"/>
        </w:rPr>
        <w:t>(Source: RBI)</w:t>
      </w:r>
      <w:r w:rsidRPr="00210C9E">
        <w:rPr>
          <w:rFonts w:asciiTheme="majorHAnsi" w:hAnsiTheme="majorHAnsi"/>
          <w:i/>
          <w:sz w:val="22"/>
          <w:szCs w:val="22"/>
        </w:rPr>
        <w:br w:type="page"/>
      </w:r>
    </w:p>
    <w:p w14:paraId="051175AA" w14:textId="77777777" w:rsidR="00210C9E" w:rsidRDefault="00210C9E">
      <w:pPr>
        <w:rPr>
          <w:rFonts w:asciiTheme="majorHAnsi" w:hAnsiTheme="majorHAnsi"/>
          <w:sz w:val="22"/>
          <w:szCs w:val="22"/>
        </w:rPr>
      </w:pPr>
      <w:r w:rsidRPr="00210C9E">
        <w:rPr>
          <w:noProof/>
        </w:rPr>
        <w:lastRenderedPageBreak/>
        <w:drawing>
          <wp:inline distT="0" distB="0" distL="0" distR="0" wp14:anchorId="2A73E0A8" wp14:editId="07DBC672">
            <wp:extent cx="3775075" cy="1638935"/>
            <wp:effectExtent l="0" t="0" r="9525"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5075" cy="1638935"/>
                    </a:xfrm>
                    <a:prstGeom prst="rect">
                      <a:avLst/>
                    </a:prstGeom>
                    <a:noFill/>
                    <a:ln>
                      <a:noFill/>
                    </a:ln>
                  </pic:spPr>
                </pic:pic>
              </a:graphicData>
            </a:graphic>
          </wp:inline>
        </w:drawing>
      </w:r>
    </w:p>
    <w:p w14:paraId="034855F1" w14:textId="15E1D3BC" w:rsidR="00761C16" w:rsidRPr="00210C9E" w:rsidRDefault="00210C9E">
      <w:pPr>
        <w:rPr>
          <w:rFonts w:asciiTheme="majorHAnsi" w:hAnsiTheme="majorHAnsi"/>
          <w:i/>
          <w:sz w:val="22"/>
          <w:szCs w:val="22"/>
        </w:rPr>
      </w:pPr>
      <w:r w:rsidRPr="00210C9E">
        <w:rPr>
          <w:rFonts w:asciiTheme="majorHAnsi" w:hAnsiTheme="majorHAnsi"/>
          <w:i/>
          <w:sz w:val="22"/>
          <w:szCs w:val="22"/>
        </w:rPr>
        <w:t>(Source: Federal Reserve)</w:t>
      </w:r>
      <w:r w:rsidR="00761C16" w:rsidRPr="00210C9E">
        <w:rPr>
          <w:rFonts w:asciiTheme="majorHAnsi" w:hAnsiTheme="majorHAnsi"/>
          <w:i/>
          <w:sz w:val="22"/>
          <w:szCs w:val="22"/>
        </w:rPr>
        <w:br w:type="page"/>
      </w:r>
    </w:p>
    <w:p w14:paraId="0915A9F0" w14:textId="40D7B8E6" w:rsidR="00761C16" w:rsidRDefault="00761C16" w:rsidP="00E34E44">
      <w:pPr>
        <w:pStyle w:val="Heading2"/>
        <w:jc w:val="center"/>
      </w:pPr>
      <w:bookmarkStart w:id="13" w:name="_Toc307682233"/>
      <w:r>
        <w:lastRenderedPageBreak/>
        <w:t>References</w:t>
      </w:r>
      <w:bookmarkEnd w:id="13"/>
    </w:p>
    <w:p w14:paraId="6CD0EA2B" w14:textId="77777777" w:rsidR="00761C16" w:rsidRDefault="00761C16" w:rsidP="00761C16">
      <w:pPr>
        <w:rPr>
          <w:rFonts w:asciiTheme="majorHAnsi" w:hAnsiTheme="majorHAnsi"/>
          <w:sz w:val="22"/>
          <w:szCs w:val="22"/>
        </w:rPr>
      </w:pPr>
    </w:p>
    <w:p w14:paraId="25B4742A" w14:textId="278B5222" w:rsidR="00761C16" w:rsidRDefault="00761C16" w:rsidP="00761C16">
      <w:pPr>
        <w:pStyle w:val="ListParagraph"/>
        <w:numPr>
          <w:ilvl w:val="0"/>
          <w:numId w:val="7"/>
        </w:numPr>
        <w:rPr>
          <w:rFonts w:asciiTheme="majorHAnsi" w:hAnsiTheme="majorHAnsi"/>
          <w:sz w:val="22"/>
          <w:szCs w:val="22"/>
        </w:rPr>
      </w:pPr>
      <w:r w:rsidRPr="00761C16">
        <w:rPr>
          <w:rFonts w:asciiTheme="majorHAnsi" w:hAnsiTheme="majorHAnsi"/>
          <w:sz w:val="22"/>
          <w:szCs w:val="22"/>
        </w:rPr>
        <w:t>All Table data sourced from the RBI</w:t>
      </w:r>
      <w:r w:rsidR="00834F87">
        <w:rPr>
          <w:rFonts w:asciiTheme="majorHAnsi" w:hAnsiTheme="majorHAnsi"/>
          <w:sz w:val="22"/>
          <w:szCs w:val="22"/>
        </w:rPr>
        <w:t>-DBIE (Database on the Indian Economy)</w:t>
      </w:r>
    </w:p>
    <w:p w14:paraId="7E40C064" w14:textId="248305B0" w:rsidR="00761C16" w:rsidRDefault="00834F87" w:rsidP="00761C16">
      <w:pPr>
        <w:pStyle w:val="ListParagraph"/>
        <w:numPr>
          <w:ilvl w:val="0"/>
          <w:numId w:val="7"/>
        </w:numPr>
        <w:rPr>
          <w:rFonts w:asciiTheme="majorHAnsi" w:hAnsiTheme="majorHAnsi"/>
          <w:sz w:val="22"/>
          <w:szCs w:val="22"/>
        </w:rPr>
      </w:pPr>
      <w:r>
        <w:rPr>
          <w:rFonts w:asciiTheme="majorHAnsi" w:hAnsiTheme="majorHAnsi"/>
          <w:sz w:val="22"/>
          <w:szCs w:val="22"/>
        </w:rPr>
        <w:t>RBI</w:t>
      </w:r>
    </w:p>
    <w:p w14:paraId="718D9F99" w14:textId="3990501B" w:rsidR="001162B1" w:rsidRDefault="00843EE1" w:rsidP="000E020C">
      <w:pPr>
        <w:pStyle w:val="ListParagraph"/>
        <w:numPr>
          <w:ilvl w:val="0"/>
          <w:numId w:val="7"/>
        </w:numPr>
        <w:rPr>
          <w:rFonts w:asciiTheme="majorHAnsi" w:hAnsiTheme="majorHAnsi"/>
          <w:sz w:val="22"/>
          <w:szCs w:val="22"/>
        </w:rPr>
      </w:pPr>
      <w:r>
        <w:rPr>
          <w:rFonts w:asciiTheme="majorHAnsi" w:hAnsiTheme="majorHAnsi"/>
          <w:sz w:val="22"/>
          <w:szCs w:val="22"/>
        </w:rPr>
        <w:t>Federal Reserve</w:t>
      </w:r>
    </w:p>
    <w:p w14:paraId="141683A9" w14:textId="3EC597CD" w:rsidR="000E51C4" w:rsidRPr="000E020C" w:rsidRDefault="000E51C4" w:rsidP="000E020C">
      <w:pPr>
        <w:pStyle w:val="ListParagraph"/>
        <w:numPr>
          <w:ilvl w:val="0"/>
          <w:numId w:val="7"/>
        </w:numPr>
        <w:rPr>
          <w:rFonts w:asciiTheme="majorHAnsi" w:hAnsiTheme="majorHAnsi"/>
          <w:sz w:val="22"/>
          <w:szCs w:val="22"/>
        </w:rPr>
      </w:pPr>
      <w:r>
        <w:rPr>
          <w:rFonts w:asciiTheme="majorHAnsi" w:hAnsiTheme="majorHAnsi"/>
          <w:sz w:val="22"/>
          <w:szCs w:val="22"/>
        </w:rPr>
        <w:t>Wall Street Journal</w:t>
      </w:r>
    </w:p>
    <w:sectPr w:rsidR="000E51C4" w:rsidRPr="000E020C" w:rsidSect="00AF4D4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chin">
    <w:altName w:val="Trebuchet MS"/>
    <w:charset w:val="00"/>
    <w:family w:val="auto"/>
    <w:pitch w:val="variable"/>
    <w:sig w:usb0="00000001" w:usb1="4000004A"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EC0"/>
    <w:multiLevelType w:val="hybridMultilevel"/>
    <w:tmpl w:val="1F3490DC"/>
    <w:lvl w:ilvl="0" w:tplc="97D0B1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0D380C"/>
    <w:multiLevelType w:val="hybridMultilevel"/>
    <w:tmpl w:val="4358E6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F14FD5"/>
    <w:multiLevelType w:val="hybridMultilevel"/>
    <w:tmpl w:val="E1B0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D1D81"/>
    <w:multiLevelType w:val="hybridMultilevel"/>
    <w:tmpl w:val="2F4AA366"/>
    <w:lvl w:ilvl="0" w:tplc="93409F98">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4">
    <w:nsid w:val="258D45AC"/>
    <w:multiLevelType w:val="hybridMultilevel"/>
    <w:tmpl w:val="3E76B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6193C78"/>
    <w:multiLevelType w:val="hybridMultilevel"/>
    <w:tmpl w:val="06DA2A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8526CC6"/>
    <w:multiLevelType w:val="hybridMultilevel"/>
    <w:tmpl w:val="454250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E130E9A"/>
    <w:multiLevelType w:val="hybridMultilevel"/>
    <w:tmpl w:val="03B222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5"/>
  </w:num>
  <w:num w:numId="4">
    <w:abstractNumId w:val="2"/>
  </w:num>
  <w:num w:numId="5">
    <w:abstractNumId w:val="0"/>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D79"/>
    <w:rsid w:val="0000323C"/>
    <w:rsid w:val="00003D0C"/>
    <w:rsid w:val="00005329"/>
    <w:rsid w:val="00012F7A"/>
    <w:rsid w:val="000213BD"/>
    <w:rsid w:val="00024F13"/>
    <w:rsid w:val="00025245"/>
    <w:rsid w:val="000324D6"/>
    <w:rsid w:val="00036714"/>
    <w:rsid w:val="00045CF1"/>
    <w:rsid w:val="00071560"/>
    <w:rsid w:val="00074764"/>
    <w:rsid w:val="000814C1"/>
    <w:rsid w:val="00082DD0"/>
    <w:rsid w:val="00091F89"/>
    <w:rsid w:val="000A001D"/>
    <w:rsid w:val="000A5F15"/>
    <w:rsid w:val="000B3B63"/>
    <w:rsid w:val="000B6B5C"/>
    <w:rsid w:val="000D7A9F"/>
    <w:rsid w:val="000E020C"/>
    <w:rsid w:val="000E0806"/>
    <w:rsid w:val="000E2004"/>
    <w:rsid w:val="000E42CA"/>
    <w:rsid w:val="000E51C4"/>
    <w:rsid w:val="000F00B8"/>
    <w:rsid w:val="000F61FF"/>
    <w:rsid w:val="000F68DD"/>
    <w:rsid w:val="001009A0"/>
    <w:rsid w:val="001162B1"/>
    <w:rsid w:val="00146E83"/>
    <w:rsid w:val="001476D6"/>
    <w:rsid w:val="00154E82"/>
    <w:rsid w:val="001579AF"/>
    <w:rsid w:val="001708D8"/>
    <w:rsid w:val="00186A71"/>
    <w:rsid w:val="001876AE"/>
    <w:rsid w:val="00187EDF"/>
    <w:rsid w:val="00191D4E"/>
    <w:rsid w:val="00195D91"/>
    <w:rsid w:val="001B1A55"/>
    <w:rsid w:val="001B2B7D"/>
    <w:rsid w:val="001B3E3C"/>
    <w:rsid w:val="001B77BF"/>
    <w:rsid w:val="001C2984"/>
    <w:rsid w:val="001E0D2E"/>
    <w:rsid w:val="001F1539"/>
    <w:rsid w:val="00210C9E"/>
    <w:rsid w:val="002125D3"/>
    <w:rsid w:val="00215402"/>
    <w:rsid w:val="002428EE"/>
    <w:rsid w:val="00244714"/>
    <w:rsid w:val="0026341D"/>
    <w:rsid w:val="0028320F"/>
    <w:rsid w:val="00295118"/>
    <w:rsid w:val="002A1E21"/>
    <w:rsid w:val="002A487C"/>
    <w:rsid w:val="002C25F6"/>
    <w:rsid w:val="002C3516"/>
    <w:rsid w:val="002D4164"/>
    <w:rsid w:val="002E1A98"/>
    <w:rsid w:val="002E5AA6"/>
    <w:rsid w:val="0030176B"/>
    <w:rsid w:val="00302593"/>
    <w:rsid w:val="00304B19"/>
    <w:rsid w:val="00306A2C"/>
    <w:rsid w:val="0031320A"/>
    <w:rsid w:val="00321BAA"/>
    <w:rsid w:val="00324AD6"/>
    <w:rsid w:val="003266F5"/>
    <w:rsid w:val="00337AAA"/>
    <w:rsid w:val="00342849"/>
    <w:rsid w:val="00350AFC"/>
    <w:rsid w:val="00354581"/>
    <w:rsid w:val="00356B89"/>
    <w:rsid w:val="00367460"/>
    <w:rsid w:val="00381C98"/>
    <w:rsid w:val="00384CA3"/>
    <w:rsid w:val="00385943"/>
    <w:rsid w:val="003958B4"/>
    <w:rsid w:val="00396104"/>
    <w:rsid w:val="003A30F8"/>
    <w:rsid w:val="003A5299"/>
    <w:rsid w:val="003A58B1"/>
    <w:rsid w:val="003B4C98"/>
    <w:rsid w:val="003F5DF0"/>
    <w:rsid w:val="003F615E"/>
    <w:rsid w:val="00401EBF"/>
    <w:rsid w:val="004025D9"/>
    <w:rsid w:val="00422DD9"/>
    <w:rsid w:val="00443737"/>
    <w:rsid w:val="00451EC8"/>
    <w:rsid w:val="00453E50"/>
    <w:rsid w:val="004603F7"/>
    <w:rsid w:val="004607A6"/>
    <w:rsid w:val="00485071"/>
    <w:rsid w:val="00485E97"/>
    <w:rsid w:val="0048736E"/>
    <w:rsid w:val="00487729"/>
    <w:rsid w:val="004A070C"/>
    <w:rsid w:val="004A4702"/>
    <w:rsid w:val="004A59CF"/>
    <w:rsid w:val="004A5CD3"/>
    <w:rsid w:val="004B4694"/>
    <w:rsid w:val="004C787F"/>
    <w:rsid w:val="004D3262"/>
    <w:rsid w:val="005028C2"/>
    <w:rsid w:val="0050374B"/>
    <w:rsid w:val="00504FE1"/>
    <w:rsid w:val="00515209"/>
    <w:rsid w:val="00523D04"/>
    <w:rsid w:val="00543398"/>
    <w:rsid w:val="00557913"/>
    <w:rsid w:val="00572656"/>
    <w:rsid w:val="00577FB7"/>
    <w:rsid w:val="005847C7"/>
    <w:rsid w:val="005A615B"/>
    <w:rsid w:val="005B02B8"/>
    <w:rsid w:val="005C31FE"/>
    <w:rsid w:val="005E12DF"/>
    <w:rsid w:val="005E24EC"/>
    <w:rsid w:val="005E3B79"/>
    <w:rsid w:val="005F2229"/>
    <w:rsid w:val="0061541C"/>
    <w:rsid w:val="00616AE5"/>
    <w:rsid w:val="00621B87"/>
    <w:rsid w:val="00627484"/>
    <w:rsid w:val="00633385"/>
    <w:rsid w:val="006343D9"/>
    <w:rsid w:val="006361B3"/>
    <w:rsid w:val="00640A32"/>
    <w:rsid w:val="006461C0"/>
    <w:rsid w:val="00646BE2"/>
    <w:rsid w:val="0065013F"/>
    <w:rsid w:val="006562D9"/>
    <w:rsid w:val="00657121"/>
    <w:rsid w:val="00660893"/>
    <w:rsid w:val="00673361"/>
    <w:rsid w:val="006764B7"/>
    <w:rsid w:val="00681084"/>
    <w:rsid w:val="006848EB"/>
    <w:rsid w:val="00691E3E"/>
    <w:rsid w:val="006B0869"/>
    <w:rsid w:val="006D06D5"/>
    <w:rsid w:val="006D54FD"/>
    <w:rsid w:val="006E25FC"/>
    <w:rsid w:val="006E3BF9"/>
    <w:rsid w:val="006E7B87"/>
    <w:rsid w:val="006F3506"/>
    <w:rsid w:val="006F579D"/>
    <w:rsid w:val="00706BD3"/>
    <w:rsid w:val="00713F8A"/>
    <w:rsid w:val="007325A5"/>
    <w:rsid w:val="00736EB4"/>
    <w:rsid w:val="00745B96"/>
    <w:rsid w:val="0075581C"/>
    <w:rsid w:val="00760302"/>
    <w:rsid w:val="00761C16"/>
    <w:rsid w:val="00766269"/>
    <w:rsid w:val="00772B98"/>
    <w:rsid w:val="00772E05"/>
    <w:rsid w:val="00783BB2"/>
    <w:rsid w:val="007951BC"/>
    <w:rsid w:val="007A60F4"/>
    <w:rsid w:val="007B1248"/>
    <w:rsid w:val="007B2284"/>
    <w:rsid w:val="007B76FC"/>
    <w:rsid w:val="007C5078"/>
    <w:rsid w:val="007C6B3D"/>
    <w:rsid w:val="007D5773"/>
    <w:rsid w:val="007E50B5"/>
    <w:rsid w:val="007F5620"/>
    <w:rsid w:val="00804287"/>
    <w:rsid w:val="00806250"/>
    <w:rsid w:val="008142A6"/>
    <w:rsid w:val="00824518"/>
    <w:rsid w:val="008277F9"/>
    <w:rsid w:val="008278D2"/>
    <w:rsid w:val="00827F5B"/>
    <w:rsid w:val="008328C0"/>
    <w:rsid w:val="00834F87"/>
    <w:rsid w:val="00843EE1"/>
    <w:rsid w:val="00846273"/>
    <w:rsid w:val="008558CF"/>
    <w:rsid w:val="00862FD0"/>
    <w:rsid w:val="00877E1F"/>
    <w:rsid w:val="008942EB"/>
    <w:rsid w:val="008954F2"/>
    <w:rsid w:val="008A2F43"/>
    <w:rsid w:val="008C1036"/>
    <w:rsid w:val="008C1F49"/>
    <w:rsid w:val="008C492B"/>
    <w:rsid w:val="008D091B"/>
    <w:rsid w:val="008D1367"/>
    <w:rsid w:val="008D3F7D"/>
    <w:rsid w:val="008E09C0"/>
    <w:rsid w:val="008E0B6C"/>
    <w:rsid w:val="008E7E93"/>
    <w:rsid w:val="008F433C"/>
    <w:rsid w:val="009013ED"/>
    <w:rsid w:val="009134AD"/>
    <w:rsid w:val="0091796A"/>
    <w:rsid w:val="00931169"/>
    <w:rsid w:val="009357A0"/>
    <w:rsid w:val="00961808"/>
    <w:rsid w:val="00973393"/>
    <w:rsid w:val="0097397A"/>
    <w:rsid w:val="00973C36"/>
    <w:rsid w:val="00983943"/>
    <w:rsid w:val="009A47C0"/>
    <w:rsid w:val="009A696C"/>
    <w:rsid w:val="009B6D0D"/>
    <w:rsid w:val="009B7D75"/>
    <w:rsid w:val="009D2A6D"/>
    <w:rsid w:val="009E01E6"/>
    <w:rsid w:val="009F1567"/>
    <w:rsid w:val="00A00766"/>
    <w:rsid w:val="00A012D0"/>
    <w:rsid w:val="00A026D9"/>
    <w:rsid w:val="00A040AA"/>
    <w:rsid w:val="00A159A7"/>
    <w:rsid w:val="00A20DC9"/>
    <w:rsid w:val="00A32B81"/>
    <w:rsid w:val="00A361D6"/>
    <w:rsid w:val="00A5601F"/>
    <w:rsid w:val="00A6178A"/>
    <w:rsid w:val="00A637ED"/>
    <w:rsid w:val="00A67B68"/>
    <w:rsid w:val="00A70DBD"/>
    <w:rsid w:val="00A84A4B"/>
    <w:rsid w:val="00AA3C8F"/>
    <w:rsid w:val="00AA6B80"/>
    <w:rsid w:val="00AB5306"/>
    <w:rsid w:val="00AC7E5C"/>
    <w:rsid w:val="00AD0B4F"/>
    <w:rsid w:val="00AE5C0C"/>
    <w:rsid w:val="00AF281A"/>
    <w:rsid w:val="00AF2D79"/>
    <w:rsid w:val="00AF4D4F"/>
    <w:rsid w:val="00AF6D2F"/>
    <w:rsid w:val="00B01C1D"/>
    <w:rsid w:val="00B048EC"/>
    <w:rsid w:val="00B16771"/>
    <w:rsid w:val="00B61000"/>
    <w:rsid w:val="00B67058"/>
    <w:rsid w:val="00B81273"/>
    <w:rsid w:val="00B90EF3"/>
    <w:rsid w:val="00BA63A6"/>
    <w:rsid w:val="00BB5B68"/>
    <w:rsid w:val="00BC7AD7"/>
    <w:rsid w:val="00BD3470"/>
    <w:rsid w:val="00BE112B"/>
    <w:rsid w:val="00BE167B"/>
    <w:rsid w:val="00C121EC"/>
    <w:rsid w:val="00C1687B"/>
    <w:rsid w:val="00C31743"/>
    <w:rsid w:val="00C31914"/>
    <w:rsid w:val="00C34C5C"/>
    <w:rsid w:val="00C35D87"/>
    <w:rsid w:val="00C36F6A"/>
    <w:rsid w:val="00C417C7"/>
    <w:rsid w:val="00C462EB"/>
    <w:rsid w:val="00C55E9B"/>
    <w:rsid w:val="00C573F0"/>
    <w:rsid w:val="00C6554A"/>
    <w:rsid w:val="00C754FC"/>
    <w:rsid w:val="00C75C1D"/>
    <w:rsid w:val="00C810E1"/>
    <w:rsid w:val="00CA4A57"/>
    <w:rsid w:val="00CA6797"/>
    <w:rsid w:val="00CB6FED"/>
    <w:rsid w:val="00CC19C4"/>
    <w:rsid w:val="00CC4D0C"/>
    <w:rsid w:val="00CC6F6E"/>
    <w:rsid w:val="00CD62F4"/>
    <w:rsid w:val="00CE78D1"/>
    <w:rsid w:val="00D21C52"/>
    <w:rsid w:val="00D27A2F"/>
    <w:rsid w:val="00D517B8"/>
    <w:rsid w:val="00D5576C"/>
    <w:rsid w:val="00D61243"/>
    <w:rsid w:val="00D675A9"/>
    <w:rsid w:val="00D67FB9"/>
    <w:rsid w:val="00D71A9C"/>
    <w:rsid w:val="00D76CA1"/>
    <w:rsid w:val="00D80081"/>
    <w:rsid w:val="00D961CB"/>
    <w:rsid w:val="00D97BF7"/>
    <w:rsid w:val="00DA0787"/>
    <w:rsid w:val="00DA15D5"/>
    <w:rsid w:val="00DA2566"/>
    <w:rsid w:val="00DB3927"/>
    <w:rsid w:val="00DC4179"/>
    <w:rsid w:val="00DD3E9B"/>
    <w:rsid w:val="00DE3B7E"/>
    <w:rsid w:val="00DE4535"/>
    <w:rsid w:val="00DF3A06"/>
    <w:rsid w:val="00E15138"/>
    <w:rsid w:val="00E3347E"/>
    <w:rsid w:val="00E34AE2"/>
    <w:rsid w:val="00E34E44"/>
    <w:rsid w:val="00E512EE"/>
    <w:rsid w:val="00E51DBC"/>
    <w:rsid w:val="00E57DB2"/>
    <w:rsid w:val="00E803A2"/>
    <w:rsid w:val="00EA1108"/>
    <w:rsid w:val="00EA1380"/>
    <w:rsid w:val="00EA3913"/>
    <w:rsid w:val="00EA5DB9"/>
    <w:rsid w:val="00EB5909"/>
    <w:rsid w:val="00ED5891"/>
    <w:rsid w:val="00EE396F"/>
    <w:rsid w:val="00EE5982"/>
    <w:rsid w:val="00F01E3B"/>
    <w:rsid w:val="00F02365"/>
    <w:rsid w:val="00F0335D"/>
    <w:rsid w:val="00F0370A"/>
    <w:rsid w:val="00F12175"/>
    <w:rsid w:val="00F23D43"/>
    <w:rsid w:val="00F377AF"/>
    <w:rsid w:val="00F408EB"/>
    <w:rsid w:val="00F4323D"/>
    <w:rsid w:val="00F47E52"/>
    <w:rsid w:val="00F5145E"/>
    <w:rsid w:val="00F53637"/>
    <w:rsid w:val="00F563ED"/>
    <w:rsid w:val="00F610BD"/>
    <w:rsid w:val="00F67FB3"/>
    <w:rsid w:val="00F735C3"/>
    <w:rsid w:val="00F917EC"/>
    <w:rsid w:val="00F962C8"/>
    <w:rsid w:val="00FA18AB"/>
    <w:rsid w:val="00FB2C27"/>
    <w:rsid w:val="00FB3EA5"/>
    <w:rsid w:val="00FB6792"/>
    <w:rsid w:val="00FB6B0C"/>
    <w:rsid w:val="00FC25E5"/>
    <w:rsid w:val="00FC452E"/>
    <w:rsid w:val="00FC4768"/>
    <w:rsid w:val="00FD4D73"/>
    <w:rsid w:val="00FE0698"/>
    <w:rsid w:val="00FE64F9"/>
    <w:rsid w:val="00FF3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F74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chin" w:eastAsiaTheme="minorEastAsia" w:hAnsi="Cochi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634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15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1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5078"/>
    <w:pPr>
      <w:ind w:left="720"/>
      <w:contextualSpacing/>
    </w:pPr>
  </w:style>
  <w:style w:type="paragraph" w:styleId="BalloonText">
    <w:name w:val="Balloon Text"/>
    <w:basedOn w:val="Normal"/>
    <w:link w:val="BalloonTextChar"/>
    <w:uiPriority w:val="99"/>
    <w:semiHidden/>
    <w:unhideWhenUsed/>
    <w:rsid w:val="00A67B68"/>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B68"/>
    <w:rPr>
      <w:rFonts w:ascii="Lucida Grande" w:hAnsi="Lucida Grande"/>
      <w:sz w:val="18"/>
      <w:szCs w:val="18"/>
    </w:rPr>
  </w:style>
  <w:style w:type="character" w:customStyle="1" w:styleId="Heading2Char">
    <w:name w:val="Heading 2 Char"/>
    <w:basedOn w:val="DefaultParagraphFont"/>
    <w:link w:val="Heading2"/>
    <w:uiPriority w:val="9"/>
    <w:rsid w:val="0026341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FB6792"/>
    <w:pPr>
      <w:spacing w:before="360"/>
    </w:pPr>
    <w:rPr>
      <w:rFonts w:asciiTheme="majorHAnsi" w:hAnsiTheme="majorHAnsi"/>
      <w:b/>
      <w:caps/>
    </w:rPr>
  </w:style>
  <w:style w:type="paragraph" w:styleId="TOC2">
    <w:name w:val="toc 2"/>
    <w:basedOn w:val="Normal"/>
    <w:next w:val="Normal"/>
    <w:autoRedefine/>
    <w:uiPriority w:val="39"/>
    <w:unhideWhenUsed/>
    <w:rsid w:val="00FB6792"/>
    <w:pPr>
      <w:spacing w:before="240"/>
    </w:pPr>
    <w:rPr>
      <w:rFonts w:asciiTheme="minorHAnsi" w:hAnsiTheme="minorHAnsi"/>
      <w:b/>
      <w:sz w:val="20"/>
      <w:szCs w:val="20"/>
    </w:rPr>
  </w:style>
  <w:style w:type="paragraph" w:styleId="TOC3">
    <w:name w:val="toc 3"/>
    <w:basedOn w:val="Normal"/>
    <w:next w:val="Normal"/>
    <w:autoRedefine/>
    <w:uiPriority w:val="39"/>
    <w:unhideWhenUsed/>
    <w:rsid w:val="00FB6792"/>
    <w:pPr>
      <w:ind w:left="240"/>
    </w:pPr>
    <w:rPr>
      <w:rFonts w:asciiTheme="minorHAnsi" w:hAnsiTheme="minorHAnsi"/>
      <w:sz w:val="20"/>
      <w:szCs w:val="20"/>
    </w:rPr>
  </w:style>
  <w:style w:type="paragraph" w:styleId="TOC4">
    <w:name w:val="toc 4"/>
    <w:basedOn w:val="Normal"/>
    <w:next w:val="Normal"/>
    <w:autoRedefine/>
    <w:uiPriority w:val="39"/>
    <w:unhideWhenUsed/>
    <w:rsid w:val="00FB6792"/>
    <w:pPr>
      <w:ind w:left="480"/>
    </w:pPr>
    <w:rPr>
      <w:rFonts w:asciiTheme="minorHAnsi" w:hAnsiTheme="minorHAnsi"/>
      <w:sz w:val="20"/>
      <w:szCs w:val="20"/>
    </w:rPr>
  </w:style>
  <w:style w:type="paragraph" w:styleId="TOC5">
    <w:name w:val="toc 5"/>
    <w:basedOn w:val="Normal"/>
    <w:next w:val="Normal"/>
    <w:autoRedefine/>
    <w:uiPriority w:val="39"/>
    <w:unhideWhenUsed/>
    <w:rsid w:val="00FB6792"/>
    <w:pPr>
      <w:ind w:left="720"/>
    </w:pPr>
    <w:rPr>
      <w:rFonts w:asciiTheme="minorHAnsi" w:hAnsiTheme="minorHAnsi"/>
      <w:sz w:val="20"/>
      <w:szCs w:val="20"/>
    </w:rPr>
  </w:style>
  <w:style w:type="paragraph" w:styleId="TOC6">
    <w:name w:val="toc 6"/>
    <w:basedOn w:val="Normal"/>
    <w:next w:val="Normal"/>
    <w:autoRedefine/>
    <w:uiPriority w:val="39"/>
    <w:unhideWhenUsed/>
    <w:rsid w:val="00FB6792"/>
    <w:pPr>
      <w:ind w:left="960"/>
    </w:pPr>
    <w:rPr>
      <w:rFonts w:asciiTheme="minorHAnsi" w:hAnsiTheme="minorHAnsi"/>
      <w:sz w:val="20"/>
      <w:szCs w:val="20"/>
    </w:rPr>
  </w:style>
  <w:style w:type="paragraph" w:styleId="TOC7">
    <w:name w:val="toc 7"/>
    <w:basedOn w:val="Normal"/>
    <w:next w:val="Normal"/>
    <w:autoRedefine/>
    <w:uiPriority w:val="39"/>
    <w:unhideWhenUsed/>
    <w:rsid w:val="00FB6792"/>
    <w:pPr>
      <w:ind w:left="1200"/>
    </w:pPr>
    <w:rPr>
      <w:rFonts w:asciiTheme="minorHAnsi" w:hAnsiTheme="minorHAnsi"/>
      <w:sz w:val="20"/>
      <w:szCs w:val="20"/>
    </w:rPr>
  </w:style>
  <w:style w:type="paragraph" w:styleId="TOC8">
    <w:name w:val="toc 8"/>
    <w:basedOn w:val="Normal"/>
    <w:next w:val="Normal"/>
    <w:autoRedefine/>
    <w:uiPriority w:val="39"/>
    <w:unhideWhenUsed/>
    <w:rsid w:val="00FB6792"/>
    <w:pPr>
      <w:ind w:left="1440"/>
    </w:pPr>
    <w:rPr>
      <w:rFonts w:asciiTheme="minorHAnsi" w:hAnsiTheme="minorHAnsi"/>
      <w:sz w:val="20"/>
      <w:szCs w:val="20"/>
    </w:rPr>
  </w:style>
  <w:style w:type="paragraph" w:styleId="TOC9">
    <w:name w:val="toc 9"/>
    <w:basedOn w:val="Normal"/>
    <w:next w:val="Normal"/>
    <w:autoRedefine/>
    <w:uiPriority w:val="39"/>
    <w:unhideWhenUsed/>
    <w:rsid w:val="00FB6792"/>
    <w:pPr>
      <w:ind w:left="1680"/>
    </w:pPr>
    <w:rPr>
      <w:rFonts w:asciiTheme="minorHAnsi" w:hAnsiTheme="minorHAnsi"/>
      <w:sz w:val="20"/>
      <w:szCs w:val="20"/>
    </w:rPr>
  </w:style>
  <w:style w:type="character" w:customStyle="1" w:styleId="Heading3Char">
    <w:name w:val="Heading 3 Char"/>
    <w:basedOn w:val="DefaultParagraphFont"/>
    <w:link w:val="Heading3"/>
    <w:uiPriority w:val="9"/>
    <w:rsid w:val="0007156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chin" w:eastAsiaTheme="minorEastAsia" w:hAnsi="Cochi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634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15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1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5078"/>
    <w:pPr>
      <w:ind w:left="720"/>
      <w:contextualSpacing/>
    </w:pPr>
  </w:style>
  <w:style w:type="paragraph" w:styleId="BalloonText">
    <w:name w:val="Balloon Text"/>
    <w:basedOn w:val="Normal"/>
    <w:link w:val="BalloonTextChar"/>
    <w:uiPriority w:val="99"/>
    <w:semiHidden/>
    <w:unhideWhenUsed/>
    <w:rsid w:val="00A67B68"/>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B68"/>
    <w:rPr>
      <w:rFonts w:ascii="Lucida Grande" w:hAnsi="Lucida Grande"/>
      <w:sz w:val="18"/>
      <w:szCs w:val="18"/>
    </w:rPr>
  </w:style>
  <w:style w:type="character" w:customStyle="1" w:styleId="Heading2Char">
    <w:name w:val="Heading 2 Char"/>
    <w:basedOn w:val="DefaultParagraphFont"/>
    <w:link w:val="Heading2"/>
    <w:uiPriority w:val="9"/>
    <w:rsid w:val="0026341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FB6792"/>
    <w:pPr>
      <w:spacing w:before="360"/>
    </w:pPr>
    <w:rPr>
      <w:rFonts w:asciiTheme="majorHAnsi" w:hAnsiTheme="majorHAnsi"/>
      <w:b/>
      <w:caps/>
    </w:rPr>
  </w:style>
  <w:style w:type="paragraph" w:styleId="TOC2">
    <w:name w:val="toc 2"/>
    <w:basedOn w:val="Normal"/>
    <w:next w:val="Normal"/>
    <w:autoRedefine/>
    <w:uiPriority w:val="39"/>
    <w:unhideWhenUsed/>
    <w:rsid w:val="00FB6792"/>
    <w:pPr>
      <w:spacing w:before="240"/>
    </w:pPr>
    <w:rPr>
      <w:rFonts w:asciiTheme="minorHAnsi" w:hAnsiTheme="minorHAnsi"/>
      <w:b/>
      <w:sz w:val="20"/>
      <w:szCs w:val="20"/>
    </w:rPr>
  </w:style>
  <w:style w:type="paragraph" w:styleId="TOC3">
    <w:name w:val="toc 3"/>
    <w:basedOn w:val="Normal"/>
    <w:next w:val="Normal"/>
    <w:autoRedefine/>
    <w:uiPriority w:val="39"/>
    <w:unhideWhenUsed/>
    <w:rsid w:val="00FB6792"/>
    <w:pPr>
      <w:ind w:left="240"/>
    </w:pPr>
    <w:rPr>
      <w:rFonts w:asciiTheme="minorHAnsi" w:hAnsiTheme="minorHAnsi"/>
      <w:sz w:val="20"/>
      <w:szCs w:val="20"/>
    </w:rPr>
  </w:style>
  <w:style w:type="paragraph" w:styleId="TOC4">
    <w:name w:val="toc 4"/>
    <w:basedOn w:val="Normal"/>
    <w:next w:val="Normal"/>
    <w:autoRedefine/>
    <w:uiPriority w:val="39"/>
    <w:unhideWhenUsed/>
    <w:rsid w:val="00FB6792"/>
    <w:pPr>
      <w:ind w:left="480"/>
    </w:pPr>
    <w:rPr>
      <w:rFonts w:asciiTheme="minorHAnsi" w:hAnsiTheme="minorHAnsi"/>
      <w:sz w:val="20"/>
      <w:szCs w:val="20"/>
    </w:rPr>
  </w:style>
  <w:style w:type="paragraph" w:styleId="TOC5">
    <w:name w:val="toc 5"/>
    <w:basedOn w:val="Normal"/>
    <w:next w:val="Normal"/>
    <w:autoRedefine/>
    <w:uiPriority w:val="39"/>
    <w:unhideWhenUsed/>
    <w:rsid w:val="00FB6792"/>
    <w:pPr>
      <w:ind w:left="720"/>
    </w:pPr>
    <w:rPr>
      <w:rFonts w:asciiTheme="minorHAnsi" w:hAnsiTheme="minorHAnsi"/>
      <w:sz w:val="20"/>
      <w:szCs w:val="20"/>
    </w:rPr>
  </w:style>
  <w:style w:type="paragraph" w:styleId="TOC6">
    <w:name w:val="toc 6"/>
    <w:basedOn w:val="Normal"/>
    <w:next w:val="Normal"/>
    <w:autoRedefine/>
    <w:uiPriority w:val="39"/>
    <w:unhideWhenUsed/>
    <w:rsid w:val="00FB6792"/>
    <w:pPr>
      <w:ind w:left="960"/>
    </w:pPr>
    <w:rPr>
      <w:rFonts w:asciiTheme="minorHAnsi" w:hAnsiTheme="minorHAnsi"/>
      <w:sz w:val="20"/>
      <w:szCs w:val="20"/>
    </w:rPr>
  </w:style>
  <w:style w:type="paragraph" w:styleId="TOC7">
    <w:name w:val="toc 7"/>
    <w:basedOn w:val="Normal"/>
    <w:next w:val="Normal"/>
    <w:autoRedefine/>
    <w:uiPriority w:val="39"/>
    <w:unhideWhenUsed/>
    <w:rsid w:val="00FB6792"/>
    <w:pPr>
      <w:ind w:left="1200"/>
    </w:pPr>
    <w:rPr>
      <w:rFonts w:asciiTheme="minorHAnsi" w:hAnsiTheme="minorHAnsi"/>
      <w:sz w:val="20"/>
      <w:szCs w:val="20"/>
    </w:rPr>
  </w:style>
  <w:style w:type="paragraph" w:styleId="TOC8">
    <w:name w:val="toc 8"/>
    <w:basedOn w:val="Normal"/>
    <w:next w:val="Normal"/>
    <w:autoRedefine/>
    <w:uiPriority w:val="39"/>
    <w:unhideWhenUsed/>
    <w:rsid w:val="00FB6792"/>
    <w:pPr>
      <w:ind w:left="1440"/>
    </w:pPr>
    <w:rPr>
      <w:rFonts w:asciiTheme="minorHAnsi" w:hAnsiTheme="minorHAnsi"/>
      <w:sz w:val="20"/>
      <w:szCs w:val="20"/>
    </w:rPr>
  </w:style>
  <w:style w:type="paragraph" w:styleId="TOC9">
    <w:name w:val="toc 9"/>
    <w:basedOn w:val="Normal"/>
    <w:next w:val="Normal"/>
    <w:autoRedefine/>
    <w:uiPriority w:val="39"/>
    <w:unhideWhenUsed/>
    <w:rsid w:val="00FB6792"/>
    <w:pPr>
      <w:ind w:left="1680"/>
    </w:pPr>
    <w:rPr>
      <w:rFonts w:asciiTheme="minorHAnsi" w:hAnsiTheme="minorHAnsi"/>
      <w:sz w:val="20"/>
      <w:szCs w:val="20"/>
    </w:rPr>
  </w:style>
  <w:style w:type="character" w:customStyle="1" w:styleId="Heading3Char">
    <w:name w:val="Heading 3 Char"/>
    <w:basedOn w:val="DefaultParagraphFont"/>
    <w:link w:val="Heading3"/>
    <w:uiPriority w:val="9"/>
    <w:rsid w:val="0007156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11309">
      <w:bodyDiv w:val="1"/>
      <w:marLeft w:val="0"/>
      <w:marRight w:val="0"/>
      <w:marTop w:val="0"/>
      <w:marBottom w:val="0"/>
      <w:divBdr>
        <w:top w:val="none" w:sz="0" w:space="0" w:color="auto"/>
        <w:left w:val="none" w:sz="0" w:space="0" w:color="auto"/>
        <w:bottom w:val="none" w:sz="0" w:space="0" w:color="auto"/>
        <w:right w:val="none" w:sz="0" w:space="0" w:color="auto"/>
      </w:divBdr>
    </w:div>
    <w:div w:id="161898215">
      <w:bodyDiv w:val="1"/>
      <w:marLeft w:val="0"/>
      <w:marRight w:val="0"/>
      <w:marTop w:val="0"/>
      <w:marBottom w:val="0"/>
      <w:divBdr>
        <w:top w:val="none" w:sz="0" w:space="0" w:color="auto"/>
        <w:left w:val="none" w:sz="0" w:space="0" w:color="auto"/>
        <w:bottom w:val="none" w:sz="0" w:space="0" w:color="auto"/>
        <w:right w:val="none" w:sz="0" w:space="0" w:color="auto"/>
      </w:divBdr>
    </w:div>
    <w:div w:id="225804126">
      <w:bodyDiv w:val="1"/>
      <w:marLeft w:val="0"/>
      <w:marRight w:val="0"/>
      <w:marTop w:val="0"/>
      <w:marBottom w:val="0"/>
      <w:divBdr>
        <w:top w:val="none" w:sz="0" w:space="0" w:color="auto"/>
        <w:left w:val="none" w:sz="0" w:space="0" w:color="auto"/>
        <w:bottom w:val="none" w:sz="0" w:space="0" w:color="auto"/>
        <w:right w:val="none" w:sz="0" w:space="0" w:color="auto"/>
      </w:divBdr>
    </w:div>
    <w:div w:id="241064263">
      <w:bodyDiv w:val="1"/>
      <w:marLeft w:val="0"/>
      <w:marRight w:val="0"/>
      <w:marTop w:val="0"/>
      <w:marBottom w:val="0"/>
      <w:divBdr>
        <w:top w:val="none" w:sz="0" w:space="0" w:color="auto"/>
        <w:left w:val="none" w:sz="0" w:space="0" w:color="auto"/>
        <w:bottom w:val="none" w:sz="0" w:space="0" w:color="auto"/>
        <w:right w:val="none" w:sz="0" w:space="0" w:color="auto"/>
      </w:divBdr>
    </w:div>
    <w:div w:id="259290494">
      <w:bodyDiv w:val="1"/>
      <w:marLeft w:val="0"/>
      <w:marRight w:val="0"/>
      <w:marTop w:val="0"/>
      <w:marBottom w:val="0"/>
      <w:divBdr>
        <w:top w:val="none" w:sz="0" w:space="0" w:color="auto"/>
        <w:left w:val="none" w:sz="0" w:space="0" w:color="auto"/>
        <w:bottom w:val="none" w:sz="0" w:space="0" w:color="auto"/>
        <w:right w:val="none" w:sz="0" w:space="0" w:color="auto"/>
      </w:divBdr>
    </w:div>
    <w:div w:id="288173400">
      <w:bodyDiv w:val="1"/>
      <w:marLeft w:val="0"/>
      <w:marRight w:val="0"/>
      <w:marTop w:val="0"/>
      <w:marBottom w:val="0"/>
      <w:divBdr>
        <w:top w:val="none" w:sz="0" w:space="0" w:color="auto"/>
        <w:left w:val="none" w:sz="0" w:space="0" w:color="auto"/>
        <w:bottom w:val="none" w:sz="0" w:space="0" w:color="auto"/>
        <w:right w:val="none" w:sz="0" w:space="0" w:color="auto"/>
      </w:divBdr>
    </w:div>
    <w:div w:id="296884322">
      <w:bodyDiv w:val="1"/>
      <w:marLeft w:val="0"/>
      <w:marRight w:val="0"/>
      <w:marTop w:val="0"/>
      <w:marBottom w:val="0"/>
      <w:divBdr>
        <w:top w:val="none" w:sz="0" w:space="0" w:color="auto"/>
        <w:left w:val="none" w:sz="0" w:space="0" w:color="auto"/>
        <w:bottom w:val="none" w:sz="0" w:space="0" w:color="auto"/>
        <w:right w:val="none" w:sz="0" w:space="0" w:color="auto"/>
      </w:divBdr>
    </w:div>
    <w:div w:id="420562414">
      <w:bodyDiv w:val="1"/>
      <w:marLeft w:val="0"/>
      <w:marRight w:val="0"/>
      <w:marTop w:val="0"/>
      <w:marBottom w:val="0"/>
      <w:divBdr>
        <w:top w:val="none" w:sz="0" w:space="0" w:color="auto"/>
        <w:left w:val="none" w:sz="0" w:space="0" w:color="auto"/>
        <w:bottom w:val="none" w:sz="0" w:space="0" w:color="auto"/>
        <w:right w:val="none" w:sz="0" w:space="0" w:color="auto"/>
      </w:divBdr>
    </w:div>
    <w:div w:id="493447869">
      <w:bodyDiv w:val="1"/>
      <w:marLeft w:val="0"/>
      <w:marRight w:val="0"/>
      <w:marTop w:val="0"/>
      <w:marBottom w:val="0"/>
      <w:divBdr>
        <w:top w:val="none" w:sz="0" w:space="0" w:color="auto"/>
        <w:left w:val="none" w:sz="0" w:space="0" w:color="auto"/>
        <w:bottom w:val="none" w:sz="0" w:space="0" w:color="auto"/>
        <w:right w:val="none" w:sz="0" w:space="0" w:color="auto"/>
      </w:divBdr>
    </w:div>
    <w:div w:id="500320364">
      <w:bodyDiv w:val="1"/>
      <w:marLeft w:val="0"/>
      <w:marRight w:val="0"/>
      <w:marTop w:val="0"/>
      <w:marBottom w:val="0"/>
      <w:divBdr>
        <w:top w:val="none" w:sz="0" w:space="0" w:color="auto"/>
        <w:left w:val="none" w:sz="0" w:space="0" w:color="auto"/>
        <w:bottom w:val="none" w:sz="0" w:space="0" w:color="auto"/>
        <w:right w:val="none" w:sz="0" w:space="0" w:color="auto"/>
      </w:divBdr>
    </w:div>
    <w:div w:id="630402598">
      <w:bodyDiv w:val="1"/>
      <w:marLeft w:val="0"/>
      <w:marRight w:val="0"/>
      <w:marTop w:val="0"/>
      <w:marBottom w:val="0"/>
      <w:divBdr>
        <w:top w:val="none" w:sz="0" w:space="0" w:color="auto"/>
        <w:left w:val="none" w:sz="0" w:space="0" w:color="auto"/>
        <w:bottom w:val="none" w:sz="0" w:space="0" w:color="auto"/>
        <w:right w:val="none" w:sz="0" w:space="0" w:color="auto"/>
      </w:divBdr>
    </w:div>
    <w:div w:id="684288274">
      <w:bodyDiv w:val="1"/>
      <w:marLeft w:val="0"/>
      <w:marRight w:val="0"/>
      <w:marTop w:val="0"/>
      <w:marBottom w:val="0"/>
      <w:divBdr>
        <w:top w:val="none" w:sz="0" w:space="0" w:color="auto"/>
        <w:left w:val="none" w:sz="0" w:space="0" w:color="auto"/>
        <w:bottom w:val="none" w:sz="0" w:space="0" w:color="auto"/>
        <w:right w:val="none" w:sz="0" w:space="0" w:color="auto"/>
      </w:divBdr>
    </w:div>
    <w:div w:id="696194665">
      <w:bodyDiv w:val="1"/>
      <w:marLeft w:val="0"/>
      <w:marRight w:val="0"/>
      <w:marTop w:val="0"/>
      <w:marBottom w:val="0"/>
      <w:divBdr>
        <w:top w:val="none" w:sz="0" w:space="0" w:color="auto"/>
        <w:left w:val="none" w:sz="0" w:space="0" w:color="auto"/>
        <w:bottom w:val="none" w:sz="0" w:space="0" w:color="auto"/>
        <w:right w:val="none" w:sz="0" w:space="0" w:color="auto"/>
      </w:divBdr>
    </w:div>
    <w:div w:id="731392588">
      <w:bodyDiv w:val="1"/>
      <w:marLeft w:val="0"/>
      <w:marRight w:val="0"/>
      <w:marTop w:val="0"/>
      <w:marBottom w:val="0"/>
      <w:divBdr>
        <w:top w:val="none" w:sz="0" w:space="0" w:color="auto"/>
        <w:left w:val="none" w:sz="0" w:space="0" w:color="auto"/>
        <w:bottom w:val="none" w:sz="0" w:space="0" w:color="auto"/>
        <w:right w:val="none" w:sz="0" w:space="0" w:color="auto"/>
      </w:divBdr>
    </w:div>
    <w:div w:id="808328068">
      <w:bodyDiv w:val="1"/>
      <w:marLeft w:val="0"/>
      <w:marRight w:val="0"/>
      <w:marTop w:val="0"/>
      <w:marBottom w:val="0"/>
      <w:divBdr>
        <w:top w:val="none" w:sz="0" w:space="0" w:color="auto"/>
        <w:left w:val="none" w:sz="0" w:space="0" w:color="auto"/>
        <w:bottom w:val="none" w:sz="0" w:space="0" w:color="auto"/>
        <w:right w:val="none" w:sz="0" w:space="0" w:color="auto"/>
      </w:divBdr>
    </w:div>
    <w:div w:id="978265652">
      <w:bodyDiv w:val="1"/>
      <w:marLeft w:val="0"/>
      <w:marRight w:val="0"/>
      <w:marTop w:val="0"/>
      <w:marBottom w:val="0"/>
      <w:divBdr>
        <w:top w:val="none" w:sz="0" w:space="0" w:color="auto"/>
        <w:left w:val="none" w:sz="0" w:space="0" w:color="auto"/>
        <w:bottom w:val="none" w:sz="0" w:space="0" w:color="auto"/>
        <w:right w:val="none" w:sz="0" w:space="0" w:color="auto"/>
      </w:divBdr>
    </w:div>
    <w:div w:id="1037436319">
      <w:bodyDiv w:val="1"/>
      <w:marLeft w:val="0"/>
      <w:marRight w:val="0"/>
      <w:marTop w:val="0"/>
      <w:marBottom w:val="0"/>
      <w:divBdr>
        <w:top w:val="none" w:sz="0" w:space="0" w:color="auto"/>
        <w:left w:val="none" w:sz="0" w:space="0" w:color="auto"/>
        <w:bottom w:val="none" w:sz="0" w:space="0" w:color="auto"/>
        <w:right w:val="none" w:sz="0" w:space="0" w:color="auto"/>
      </w:divBdr>
    </w:div>
    <w:div w:id="1192694066">
      <w:bodyDiv w:val="1"/>
      <w:marLeft w:val="0"/>
      <w:marRight w:val="0"/>
      <w:marTop w:val="0"/>
      <w:marBottom w:val="0"/>
      <w:divBdr>
        <w:top w:val="none" w:sz="0" w:space="0" w:color="auto"/>
        <w:left w:val="none" w:sz="0" w:space="0" w:color="auto"/>
        <w:bottom w:val="none" w:sz="0" w:space="0" w:color="auto"/>
        <w:right w:val="none" w:sz="0" w:space="0" w:color="auto"/>
      </w:divBdr>
    </w:div>
    <w:div w:id="1266228492">
      <w:bodyDiv w:val="1"/>
      <w:marLeft w:val="0"/>
      <w:marRight w:val="0"/>
      <w:marTop w:val="0"/>
      <w:marBottom w:val="0"/>
      <w:divBdr>
        <w:top w:val="none" w:sz="0" w:space="0" w:color="auto"/>
        <w:left w:val="none" w:sz="0" w:space="0" w:color="auto"/>
        <w:bottom w:val="none" w:sz="0" w:space="0" w:color="auto"/>
        <w:right w:val="none" w:sz="0" w:space="0" w:color="auto"/>
      </w:divBdr>
    </w:div>
    <w:div w:id="1347442369">
      <w:bodyDiv w:val="1"/>
      <w:marLeft w:val="0"/>
      <w:marRight w:val="0"/>
      <w:marTop w:val="0"/>
      <w:marBottom w:val="0"/>
      <w:divBdr>
        <w:top w:val="none" w:sz="0" w:space="0" w:color="auto"/>
        <w:left w:val="none" w:sz="0" w:space="0" w:color="auto"/>
        <w:bottom w:val="none" w:sz="0" w:space="0" w:color="auto"/>
        <w:right w:val="none" w:sz="0" w:space="0" w:color="auto"/>
      </w:divBdr>
    </w:div>
    <w:div w:id="1358891946">
      <w:bodyDiv w:val="1"/>
      <w:marLeft w:val="0"/>
      <w:marRight w:val="0"/>
      <w:marTop w:val="0"/>
      <w:marBottom w:val="0"/>
      <w:divBdr>
        <w:top w:val="none" w:sz="0" w:space="0" w:color="auto"/>
        <w:left w:val="none" w:sz="0" w:space="0" w:color="auto"/>
        <w:bottom w:val="none" w:sz="0" w:space="0" w:color="auto"/>
        <w:right w:val="none" w:sz="0" w:space="0" w:color="auto"/>
      </w:divBdr>
    </w:div>
    <w:div w:id="1544250929">
      <w:bodyDiv w:val="1"/>
      <w:marLeft w:val="0"/>
      <w:marRight w:val="0"/>
      <w:marTop w:val="0"/>
      <w:marBottom w:val="0"/>
      <w:divBdr>
        <w:top w:val="none" w:sz="0" w:space="0" w:color="auto"/>
        <w:left w:val="none" w:sz="0" w:space="0" w:color="auto"/>
        <w:bottom w:val="none" w:sz="0" w:space="0" w:color="auto"/>
        <w:right w:val="none" w:sz="0" w:space="0" w:color="auto"/>
      </w:divBdr>
    </w:div>
    <w:div w:id="1572622989">
      <w:bodyDiv w:val="1"/>
      <w:marLeft w:val="0"/>
      <w:marRight w:val="0"/>
      <w:marTop w:val="0"/>
      <w:marBottom w:val="0"/>
      <w:divBdr>
        <w:top w:val="none" w:sz="0" w:space="0" w:color="auto"/>
        <w:left w:val="none" w:sz="0" w:space="0" w:color="auto"/>
        <w:bottom w:val="none" w:sz="0" w:space="0" w:color="auto"/>
        <w:right w:val="none" w:sz="0" w:space="0" w:color="auto"/>
      </w:divBdr>
    </w:div>
    <w:div w:id="1905680132">
      <w:bodyDiv w:val="1"/>
      <w:marLeft w:val="0"/>
      <w:marRight w:val="0"/>
      <w:marTop w:val="0"/>
      <w:marBottom w:val="0"/>
      <w:divBdr>
        <w:top w:val="none" w:sz="0" w:space="0" w:color="auto"/>
        <w:left w:val="none" w:sz="0" w:space="0" w:color="auto"/>
        <w:bottom w:val="none" w:sz="0" w:space="0" w:color="auto"/>
        <w:right w:val="none" w:sz="0" w:space="0" w:color="auto"/>
      </w:divBdr>
    </w:div>
    <w:div w:id="1930851771">
      <w:bodyDiv w:val="1"/>
      <w:marLeft w:val="0"/>
      <w:marRight w:val="0"/>
      <w:marTop w:val="0"/>
      <w:marBottom w:val="0"/>
      <w:divBdr>
        <w:top w:val="none" w:sz="0" w:space="0" w:color="auto"/>
        <w:left w:val="none" w:sz="0" w:space="0" w:color="auto"/>
        <w:bottom w:val="none" w:sz="0" w:space="0" w:color="auto"/>
        <w:right w:val="none" w:sz="0" w:space="0" w:color="auto"/>
      </w:divBdr>
    </w:div>
    <w:div w:id="2045209844">
      <w:bodyDiv w:val="1"/>
      <w:marLeft w:val="0"/>
      <w:marRight w:val="0"/>
      <w:marTop w:val="0"/>
      <w:marBottom w:val="0"/>
      <w:divBdr>
        <w:top w:val="none" w:sz="0" w:space="0" w:color="auto"/>
        <w:left w:val="none" w:sz="0" w:space="0" w:color="auto"/>
        <w:bottom w:val="none" w:sz="0" w:space="0" w:color="auto"/>
        <w:right w:val="none" w:sz="0" w:space="0" w:color="auto"/>
      </w:divBdr>
    </w:div>
    <w:div w:id="2092266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2644</Words>
  <Characters>15072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Write Karma</Company>
  <LinksUpToDate>false</LinksUpToDate>
  <CharactersWithSpaces>17681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Dharmil Adhyaru</dc:creator>
  <cp:lastModifiedBy>Satish</cp:lastModifiedBy>
  <cp:revision>2</cp:revision>
  <dcterms:created xsi:type="dcterms:W3CDTF">2015-11-15T06:04:00Z</dcterms:created>
  <dcterms:modified xsi:type="dcterms:W3CDTF">2015-11-15T06:04:00Z</dcterms:modified>
</cp:coreProperties>
</file>